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BC" w:rsidRPr="00CC7D8A" w:rsidRDefault="00ED0DB5" w:rsidP="00ED0DB5">
      <w:pPr>
        <w:pStyle w:val="Pa1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CC7D8A">
        <w:rPr>
          <w:rFonts w:ascii="Times New Roman" w:hAnsi="Times New Roman" w:cs="Times New Roman"/>
          <w:b/>
          <w:bCs/>
          <w:iCs/>
          <w:color w:val="000000"/>
        </w:rPr>
        <w:t>2020-1</w:t>
      </w:r>
    </w:p>
    <w:p w:rsidR="00AB1FBC" w:rsidRPr="00CC7D8A" w:rsidRDefault="00AB1FBC" w:rsidP="00ED0DB5">
      <w:pPr>
        <w:spacing w:after="0"/>
        <w:jc w:val="center"/>
        <w:rPr>
          <w:rStyle w:val="A20"/>
          <w:rFonts w:ascii="Times New Roman" w:hAnsi="Times New Roman" w:cs="Times New Roman"/>
          <w:b/>
          <w:sz w:val="24"/>
          <w:szCs w:val="24"/>
        </w:rPr>
      </w:pPr>
      <w:r w:rsidRPr="00CC7D8A">
        <w:rPr>
          <w:rStyle w:val="A20"/>
          <w:rFonts w:ascii="Times New Roman" w:hAnsi="Times New Roman" w:cs="Times New Roman"/>
          <w:b/>
          <w:sz w:val="24"/>
          <w:szCs w:val="24"/>
        </w:rPr>
        <w:t>ТЕОРИЯ И ПРАКТИКА МЕДИЦИНЫ</w:t>
      </w:r>
    </w:p>
    <w:p w:rsidR="00ED0DB5" w:rsidRPr="00CC7D8A" w:rsidRDefault="00ED0DB5" w:rsidP="00ED0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BC" w:rsidRPr="00CC7D8A" w:rsidRDefault="00AB1FBC" w:rsidP="00ED0DB5">
      <w:pPr>
        <w:pStyle w:val="Pa1"/>
        <w:jc w:val="both"/>
        <w:rPr>
          <w:rFonts w:ascii="Times New Roman" w:hAnsi="Times New Roman" w:cs="Times New Roman"/>
          <w:color w:val="000000"/>
        </w:rPr>
      </w:pP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Абдуллоев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С.М.,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Гулбекова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З.А., Махмудов Х.Р. </w:t>
      </w:r>
    </w:p>
    <w:p w:rsidR="00AB1FBC" w:rsidRPr="00CC7D8A" w:rsidRDefault="00AB1FBC" w:rsidP="00ED0DB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ЗАБОЛЕВАЕМОСТИ НЕКОТОРЫМИ ХРОНИЧЕСКИМИ НЕИНФЕКЦИОННЫМИ ЗАБОЛЕВАНИЯМИ В ГОРНО-БАДАХШАНСКОЙ АВТОНОМНОЙ ОБЛАСТИ РЕСПУБЛИКИ ТАДЖИКИСТАН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Цель исследования.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Изучить распространенность некоторых форм хронических неинфекционных заболе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ваний (ХНИЗ) у населения Горно-Бадахшанской автономной области (ГБАО) РТ. </w:t>
      </w:r>
    </w:p>
    <w:p w:rsidR="00AB1FBC" w:rsidRPr="00CC7D8A" w:rsidRDefault="00AB1FBC" w:rsidP="00ED0DB5">
      <w:pPr>
        <w:pStyle w:val="Pa22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Материал и методы.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Проведен анализ заболеваемости населения ГБАО хроническими неинфекционными заболеваниями по ежегодным отчетам Государственного учреждения «Центр статистики при Президенте Респу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блики Таджикистан» за период 2014-2018 годы. </w:t>
      </w:r>
    </w:p>
    <w:p w:rsidR="00AB1FBC" w:rsidRPr="00CC7D8A" w:rsidRDefault="00AB1FBC" w:rsidP="00ED0DB5">
      <w:pPr>
        <w:pStyle w:val="Pa22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Результаты.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Наиболее распространённой патологией из числа ХНИЗ явилась артериальная гипертензия (АГ): 1973 человек из 141438 (2014 г.), 3232 из 150017 (2018 г.) (</w:t>
      </w:r>
      <w:proofErr w:type="spellStart"/>
      <w:proofErr w:type="gram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р</w:t>
      </w:r>
      <w:proofErr w:type="spellEnd"/>
      <w:proofErr w:type="gram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&lt;0,001). Вторым по значимости распространённости явились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йоддефицитные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состояния, обусловленные патологией щитовидной железы: 486 (2014 г.), 1147 (2016 г.) (</w:t>
      </w:r>
      <w:proofErr w:type="spellStart"/>
      <w:proofErr w:type="gram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р</w:t>
      </w:r>
      <w:proofErr w:type="spellEnd"/>
      <w:proofErr w:type="gram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&lt;0,001) (пик заболеваемости) с некоторым снижением в 2018 году. На третьем месте находилась ИБС: 344 человека (2014 г.), 492 (2018 г.) (</w:t>
      </w:r>
      <w:proofErr w:type="spellStart"/>
      <w:proofErr w:type="gram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р</w:t>
      </w:r>
      <w:proofErr w:type="spellEnd"/>
      <w:proofErr w:type="gram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&lt;0,001). Сахарный диабет регистрирован у 450 человек в 2011 году, у 560 - 2018 (</w:t>
      </w:r>
      <w:proofErr w:type="spellStart"/>
      <w:proofErr w:type="gram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р</w:t>
      </w:r>
      <w:proofErr w:type="spellEnd"/>
      <w:proofErr w:type="gram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&lt;0,001). </w:t>
      </w:r>
    </w:p>
    <w:p w:rsidR="00AB1FBC" w:rsidRPr="00CC7D8A" w:rsidRDefault="00AB1FBC" w:rsidP="00ED0DB5">
      <w:pPr>
        <w:pStyle w:val="Pa22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Наименьшую распространенность среди населения ГБАО имела хроническая почечная болезнь, за период 2014-2018 годы составила 28 и 33 случаев соответственно.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Заключение.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Высокая распространённость хронических неинфекционных заболеваний у населения ГБАО диктует необходимость проведения регулярных профилактических мероприятий по их активному выявлению и лечению, а также модернизации терапевтической службы по оказанию помощи лицам из групп высокого риска. </w:t>
      </w:r>
    </w:p>
    <w:p w:rsidR="00AB1FBC" w:rsidRPr="00CC7D8A" w:rsidRDefault="00AB1FBC" w:rsidP="00ED0DB5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 w:rsidRPr="00CC7D8A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неинфекционные заболевания, гипертония, ишемическая болезнь сердца, сахарный диабет,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йодде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softHyphen/>
        <w:t>дифицитные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 заболевания, обструктивные болезни легких</w:t>
      </w:r>
    </w:p>
    <w:p w:rsidR="00ED0DB5" w:rsidRPr="00CC7D8A" w:rsidRDefault="00ED0DB5" w:rsidP="00ED0DB5">
      <w:pPr>
        <w:pStyle w:val="Pa1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AB1FBC" w:rsidRPr="00CC7D8A" w:rsidRDefault="00AB1FBC" w:rsidP="00ED0DB5">
      <w:pPr>
        <w:pStyle w:val="Pa1"/>
        <w:jc w:val="both"/>
        <w:rPr>
          <w:rFonts w:ascii="Times New Roman" w:hAnsi="Times New Roman" w:cs="Times New Roman"/>
          <w:color w:val="000000"/>
        </w:rPr>
      </w:pP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Абдуллоев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Ф.М.,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Фарзонаи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Иброхим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, Назаров Ш.К., </w:t>
      </w:r>
    </w:p>
    <w:p w:rsidR="00AB1FBC" w:rsidRPr="00CC7D8A" w:rsidRDefault="00AB1FBC" w:rsidP="00ED0DB5">
      <w:pPr>
        <w:pStyle w:val="Pa1"/>
        <w:jc w:val="both"/>
        <w:rPr>
          <w:rFonts w:ascii="Times New Roman" w:hAnsi="Times New Roman" w:cs="Times New Roman"/>
          <w:color w:val="000000"/>
        </w:rPr>
      </w:pPr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Рахимова С.У.,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Давлатов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Х.Х., Саидов С. </w:t>
      </w:r>
    </w:p>
    <w:p w:rsidR="00AB1FBC" w:rsidRPr="00CC7D8A" w:rsidRDefault="00AB1FBC" w:rsidP="00ED0DB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УЛЬТРАЗВУКОВОЕ И КОМПЬЮТЕРНОЕ ТОМОГРАФИЧЕСКОЕ ИССЛЕДОВАНИЕ В ДИАГНОСТИКЕ АБСЦЕССА ПЕЧЕНИ И ПРОВЕДЕНИЕ МИНИ-ИНВАЗИВНЫХ ЛЕЧЕБНЫХ ВМЕШАТЕЛЬСТВ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Цель исследования.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Улучшить непосредственные результаты диагностики и хирургического лечения абс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цесса печени с использованием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мини-инвазивных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технологий.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Материал и методы.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Исследованы 24 больных с абсцессом печени в возрасте от 23 до 82 лет: 11 (45,8%) женщин, 13 (54,2%) мужчин.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Всем пациентам выполнена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чрескожная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пункция абсцесса с дренированием его полости. Особое значение придавали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мини-инвазивным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методам диагностики и лечения.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Результаты.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Информативность ультразвукового исследования (УЗИ) в диагностике абсцесса печени составляет 87–96%, компьютерной томографии (КТ) – 90-97%. У 4 больных после выполнения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чрескожной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пункции и дренирования на 14-15-е сутки были выполнены различные радикальные операции. Во всех случаях достигнут желаемый лечебный эффект – улучшение клинического состояния, снижение температуры тела до нормальных величин, появление аппе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тита, улучшение лабораторных показателей. При УЗИ наблюдались уменьшение или исчезновение полости абсцесса.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Заключение.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При наличии абсцесса печени и стертой клинической картине заболевания всем больным не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обходимо проводить УЗИ или КТ. После установки диагноза в зависимости от причины возникновения абсцесса, локализации и наличия осложнений рекомендуется проведение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мини-инвазивного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хирургического лечения. </w:t>
      </w:r>
    </w:p>
    <w:p w:rsidR="00AB1FBC" w:rsidRPr="00CC7D8A" w:rsidRDefault="00AB1FBC" w:rsidP="00ED0DB5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 w:rsidRPr="00CC7D8A">
        <w:rPr>
          <w:rStyle w:val="A6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Ключевые слова: 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абсцесс печени, ультразвуковое исследование, компьютерная томография,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мини-инвазивная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ED0DB5" w:rsidRPr="00CC7D8A" w:rsidRDefault="00ED0DB5" w:rsidP="00ED0DB5">
      <w:pPr>
        <w:pStyle w:val="Pa23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AB1FBC" w:rsidRPr="00CC7D8A" w:rsidRDefault="00AB1FBC" w:rsidP="00ED0DB5">
      <w:pPr>
        <w:pStyle w:val="Pa23"/>
        <w:rPr>
          <w:rFonts w:ascii="Times New Roman" w:hAnsi="Times New Roman" w:cs="Times New Roman"/>
          <w:color w:val="000000"/>
        </w:rPr>
      </w:pP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Асилзода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М.М.,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Камилова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М.Я.,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Акобирова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С.А. </w:t>
      </w:r>
    </w:p>
    <w:p w:rsidR="00AB1FBC" w:rsidRPr="00CC7D8A" w:rsidRDefault="00AB1FBC" w:rsidP="00ED0DB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ГОРМОНАЛЬНОЙ ФУНКЦИИ ПЛАЦЕНТЫ У БЕРЕМЕННЫХ НА ФОНЕ ОЖИРЕНИЯ ИЛИ ДЕФИЦИТА МАССЫ ТЕЛА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Цель исследования.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Изучить особенности гормональной функции плаценты у беременных на фоне ожи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рения или дефицита массы тела. </w:t>
      </w:r>
    </w:p>
    <w:p w:rsidR="00AB1FBC" w:rsidRPr="00CC7D8A" w:rsidRDefault="00AB1FBC" w:rsidP="00ED0DB5">
      <w:pPr>
        <w:pStyle w:val="Pa22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Материал и методы.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В обследование включены 86 женщин в третьем триместре беременности. Среди них нормальную массу тела имели 30 (1-я группа), избыточную массу тела – 30 (2-я группа), дефицит массы тела - 26 (3-я группа). </w:t>
      </w:r>
    </w:p>
    <w:p w:rsidR="00AB1FBC" w:rsidRPr="00CC7D8A" w:rsidRDefault="00AB1FBC" w:rsidP="00ED0DB5">
      <w:pPr>
        <w:pStyle w:val="Pa22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Всем пациенткам определяли индекс массы тела (ИМТ), содержание гормонов в сыворотке крови иммуно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ферментным методом. </w:t>
      </w:r>
    </w:p>
    <w:p w:rsidR="00AB1FBC" w:rsidRPr="00CC7D8A" w:rsidRDefault="00AB1FBC" w:rsidP="00ED0DB5">
      <w:pPr>
        <w:pStyle w:val="Pa22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Результаты.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При дефиците массы тела у беременных женщин снижается уровень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эстриола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, прямо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коррелирую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>щий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с плацентарной недостаточностью и частотой синдрома задержки развития плода, у беременных с ожирением снижается уровень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эстрадиола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, что вызвано избытком жировой ткани. </w:t>
      </w:r>
    </w:p>
    <w:p w:rsidR="00AB1FBC" w:rsidRPr="00CC7D8A" w:rsidRDefault="00AB1FBC" w:rsidP="00ED0DB5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 w:rsidRPr="00CC7D8A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беременность, индекс массы тела,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эстриол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эстрадиол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, плацентарный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лактоген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>, плацентарная недостаточность, синдром задержки развития плода</w:t>
      </w:r>
    </w:p>
    <w:p w:rsidR="00ED0DB5" w:rsidRPr="00CC7D8A" w:rsidRDefault="00ED0DB5" w:rsidP="00ED0DB5">
      <w:pPr>
        <w:pStyle w:val="Pa23"/>
        <w:rPr>
          <w:rStyle w:val="A7"/>
          <w:rFonts w:ascii="Times New Roman" w:hAnsi="Times New Roman" w:cs="Times New Roman"/>
          <w:sz w:val="24"/>
          <w:szCs w:val="24"/>
        </w:rPr>
      </w:pPr>
    </w:p>
    <w:p w:rsidR="00AB1FBC" w:rsidRPr="00CC7D8A" w:rsidRDefault="00AB1FBC" w:rsidP="00ED0DB5">
      <w:pPr>
        <w:pStyle w:val="Pa23"/>
        <w:rPr>
          <w:rFonts w:ascii="Times New Roman" w:hAnsi="Times New Roman" w:cs="Times New Roman"/>
          <w:color w:val="000000"/>
        </w:rPr>
      </w:pPr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Ганиева М.Т.,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Мадаминова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Т.В.,</w:t>
      </w:r>
      <w:r w:rsidR="00ED0DB5"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Исокова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М.Дж., </w:t>
      </w:r>
      <w:r w:rsidR="00ED0DB5" w:rsidRPr="00CC7D8A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Иллариошкин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С.Н. </w:t>
      </w:r>
    </w:p>
    <w:p w:rsidR="00AB1FBC" w:rsidRPr="00CC7D8A" w:rsidRDefault="00AB1FBC" w:rsidP="00ED0DB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РАСПРОСТРАНЕННОСТЬ И КЛИНИЧЕСКИЙ ПОЛИМОРФИЗМ НАСЛЕДСТВЕННОЙ ПАТОЛОГИИ НЕРВНОЙ СИСТЕМЫ В СОГДИЙСКОЙ ОБЛАСТИ РЕСПУБЛИКИ ТАДЖИКИСТАН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Цель исследования.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Оценить распространённость и клинический полиморфизм наследственных заболева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ний нервной системы (НЗНС) в Согдийской области Республики Таджикистан. </w:t>
      </w:r>
    </w:p>
    <w:p w:rsidR="00AB1FBC" w:rsidRPr="00CC7D8A" w:rsidRDefault="00AB1FBC" w:rsidP="00ED0DB5">
      <w:pPr>
        <w:pStyle w:val="Pa22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Материал и методы.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Организованы экспедиционные поездки в Согдийскую область Таджикистана в города Худжанд (численность населения 172,7 тыс.) и Канибадам (численность населения 49,7 тыс.). Всего было обсле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довано 372 человека, включая членов семей больных, в возрасте от 3 до 65 лет. </w:t>
      </w:r>
    </w:p>
    <w:p w:rsidR="00AB1FBC" w:rsidRPr="00CC7D8A" w:rsidRDefault="00AB1FBC" w:rsidP="00ED0DB5">
      <w:pPr>
        <w:pStyle w:val="Pa22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Результаты.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Было выявлено 115 больных с различными фенотипическими вариантами наследственных заболеваний нервной системы. Суммарная распространенность НЗНС в городах Худжанд и Канибадам составила 51,7 на 100 000 населения. Наиболее распространенной формой в Худжанде и Канибадаме является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конечностно-поясная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мышечная дистрофия (13,9 и 16,1 на 100 000 населения соответственно).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Заключение.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Учитывая значительное распространение НЗНС, с целью профилактики увеличения их роста необходимо развивать медико-генетическое консультирование и более комплексно обследовать больных и членов их семей с использованием современных методов диагностики данных заболеваний, включая ДНК-диагностику, а при нервно-мышечных заболеваниях – биопсию мышц. </w:t>
      </w:r>
    </w:p>
    <w:p w:rsidR="00AB1FBC" w:rsidRPr="00CC7D8A" w:rsidRDefault="00AB1FBC" w:rsidP="00ED0DB5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 w:rsidRPr="00CC7D8A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t>наследственные заболевания нервной системы, распространенность, Согдийская область Респу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softHyphen/>
        <w:t>блики Таджикистан</w:t>
      </w:r>
    </w:p>
    <w:p w:rsidR="00ED0DB5" w:rsidRPr="00CC7D8A" w:rsidRDefault="00ED0DB5" w:rsidP="00ED0DB5">
      <w:pPr>
        <w:pStyle w:val="Pa1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AB1FBC" w:rsidRPr="00CC7D8A" w:rsidRDefault="00AB1FBC" w:rsidP="00ED0DB5">
      <w:pPr>
        <w:pStyle w:val="Pa1"/>
        <w:jc w:val="both"/>
        <w:rPr>
          <w:rFonts w:ascii="Times New Roman" w:hAnsi="Times New Roman" w:cs="Times New Roman"/>
          <w:color w:val="000000"/>
        </w:rPr>
      </w:pP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Джабарова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Т.С.,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Касымова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М.К.,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Рахматова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Н.А. </w:t>
      </w:r>
    </w:p>
    <w:p w:rsidR="00AB1FBC" w:rsidRPr="00CC7D8A" w:rsidRDefault="00AB1FBC" w:rsidP="00ED0DB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ОПЫТ ВНЕДРЕНИЯ И РЕАЛИЗАЦИИ ИННОВАЦИОННОГО УЧЕБНОГО КУРСА «МЕНЕДЖМЕНТ ОБЩЕСТВЕННОГО ЗДРАВООХРАНЕНИЯ»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Цель исследования.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Внедрение и реализация учебного инновационного курса «Менеджер общественного здравоохранения».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 xml:space="preserve">Материал и методы.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В рамках «Соглашения о сотрудничестве» между Представительством Швейцар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ского института тропического и общественного здравоохранения в Республике Таджикистан (ШИТОЗ РТ) и Институтом последипломного образования в сфере здравоохранения РТ (ИПОСЗ) от 19.09. 2014 г. М №1 разработан учебный план программы годичного курса </w:t>
      </w:r>
      <w:proofErr w:type="gram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обучения по программе</w:t>
      </w:r>
      <w:proofErr w:type="gram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«Менеджер общественно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го здравоохранения». Курс сфокусирован на управлении учреждениями первичной медико-санитарной помощи (ПМСП). Учебный план программы состоит из 10 модулей, продолжительность обучения – 1 год, количество часов – 1716.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Результаты.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Особенностью учебной программы «Менеджмент общественного здравоохранения» является сочетание теоретических и практических традиций классического последипломного образования в интеграции различных факультетов с целью подготовки высококвалифицированных специалистов в области управления ПМСП в условиях развития рыночных отношений в здравоохранении Таджикистана.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Ключевые особенности курса: курс направлен на практические аспекты управления, учитывает реальную си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туацию районов, особый акцент делается на планировании и решении проблем; обновленные методы обучения/ преподавания; предоставление современной концепции по управлению; весьма краткое время теоретического обучения с отрывом от работы и основное время - обучение на рабочем месте посредством самообразования и наставничества.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Заключение.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Одногодичный инновационный учебный курс «Менеджмент общественного здравоохране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>ния» необходим для совершенствования системы управления здравоохранением, в частности на уровне ПМСП, посредством обучения руководителей сети учреждений ПМСП районов. В результате оценок курс признан эффективным и отвечающим потребностям управления ПМСП. Необходимо планирование и реализация мероприятий по дальнейшему институциональному развитию, стратегии маркетинга и механизма для повы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шения устойчивости. </w:t>
      </w:r>
    </w:p>
    <w:p w:rsidR="00AB1FBC" w:rsidRPr="00CC7D8A" w:rsidRDefault="00AB1FBC" w:rsidP="00ED0DB5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 w:rsidRPr="00CC7D8A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t>менеджер здравоохранения, инновационный курс подготовки, ПМСП</w:t>
      </w:r>
    </w:p>
    <w:p w:rsidR="00ED0DB5" w:rsidRPr="00CC7D8A" w:rsidRDefault="00ED0DB5" w:rsidP="00ED0DB5">
      <w:pPr>
        <w:pStyle w:val="Pa23"/>
        <w:rPr>
          <w:rStyle w:val="A7"/>
          <w:rFonts w:ascii="Times New Roman" w:hAnsi="Times New Roman" w:cs="Times New Roman"/>
          <w:sz w:val="24"/>
          <w:szCs w:val="24"/>
        </w:rPr>
      </w:pPr>
    </w:p>
    <w:p w:rsidR="00AB1FBC" w:rsidRPr="00CC7D8A" w:rsidRDefault="00AB1FBC" w:rsidP="00ED0DB5">
      <w:pPr>
        <w:pStyle w:val="Pa23"/>
        <w:rPr>
          <w:rFonts w:ascii="Times New Roman" w:hAnsi="Times New Roman" w:cs="Times New Roman"/>
          <w:color w:val="000000"/>
        </w:rPr>
      </w:pPr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Каримов С.М.,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Мирзов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А.С.,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Исмоилов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А.А. </w:t>
      </w:r>
    </w:p>
    <w:p w:rsidR="00AB1FBC" w:rsidRPr="00CC7D8A" w:rsidRDefault="00AB1FBC" w:rsidP="00ED0DB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ЭПИДЕМИОЛОГИЧЕСКОГО АНАЛИЗА РАСПРОСТРАНЕННОСТИ И ИНТЕНСИВНОСТИ ЗАБОЛЕВАНИЙ ПАРОДОНТА У ЛИЦ С СОПУТСТВУЮЩЕЙ СОМАТИЧЕСКОЙ ПАТОЛОГИЕЙ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Цель исследования.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Провести эпидемиологическую оценку частоты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пародонтологической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патологии у больных с сопутствующей соматической патологией. </w:t>
      </w:r>
    </w:p>
    <w:p w:rsidR="00AB1FBC" w:rsidRPr="00CC7D8A" w:rsidRDefault="00AB1FBC" w:rsidP="00ED0DB5">
      <w:pPr>
        <w:pStyle w:val="Pa22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Материал и методы.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С целью определения распространенности и интенсивности заболеваний пародонта проведено эпидемиологическое обследование стоматологического статуса у 527 соматических больных. Расчет достоверного числа эпидемиологических наблюдений осуществлялся по формуле бесповторной репрезентатив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ной выборки с учетом численности генеральной совокупности. Общая численность обследованных соматических больных, данные которых были использованы для эпидемиологического анализа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пародонтологического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статуса, составляла более чем 100 человек в каждой возрастной группе. Единый </w:t>
      </w:r>
      <w:proofErr w:type="gram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методический подход</w:t>
      </w:r>
      <w:proofErr w:type="gram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к выявлению и оценке ортопедического статуса при разнонаправленных межсистемных нарушениях был обеспечен путем заполнения на каждого обследованного специально разработанной карты «Комбинированная карта ВОЗ для стоматологического исследования и определения нуждаемости в лечении». </w:t>
      </w:r>
    </w:p>
    <w:p w:rsidR="00AB1FBC" w:rsidRPr="00CC7D8A" w:rsidRDefault="00AB1FBC" w:rsidP="00ED0DB5">
      <w:pPr>
        <w:pStyle w:val="Pa22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Результаты. </w:t>
      </w:r>
      <w:proofErr w:type="gram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Хронические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генерализованные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пародонтиты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у лиц основной группы явились довольно частым заболеванием пародонта среди всех исследуемых возрастных групп.</w:t>
      </w:r>
      <w:proofErr w:type="gram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Результаты проведенных исследований показали, что тяжесть патологических изменений в тканях пародонта увеличивается с нарастанием степени тяжести соматической патологии.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 xml:space="preserve">Заключение.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В патогенезе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генерализованного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пародонтита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существенную роль играют системные процессы, приводящие к глубоким изменениям внутренней среды организма и, как следствие, к структурному поражению структурных единиц тканей пародонта. </w:t>
      </w:r>
    </w:p>
    <w:p w:rsidR="00AB1FBC" w:rsidRPr="00CC7D8A" w:rsidRDefault="00AB1FBC" w:rsidP="00ED0DB5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 w:rsidRPr="00CC7D8A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эпидемиологическая оценка,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пародонтит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>, соматическая патология, распространенность, интен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softHyphen/>
        <w:t>сивность</w:t>
      </w:r>
    </w:p>
    <w:p w:rsidR="00ED0DB5" w:rsidRPr="00CC7D8A" w:rsidRDefault="00ED0DB5" w:rsidP="00ED0DB5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AB1FBC" w:rsidRPr="00CC7D8A" w:rsidRDefault="00AB1FBC" w:rsidP="00ED0DB5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Касымов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О.И.,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Эмомалиев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Муниева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С.Х.,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Баёзов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Б.,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Касымов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А.О. </w:t>
      </w:r>
    </w:p>
    <w:p w:rsidR="00AB1FBC" w:rsidRPr="00CC7D8A" w:rsidRDefault="00AB1FBC" w:rsidP="00ED0DB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КЛИНИКИ И НЕКОТОРЫХ СТОРОН ПАТОГЕНЕЗА РАЗНЫХ ТИПОВ ПСОРИАЗА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Цель исследования.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Определить особенности клиники и иммунологических нарушений у больных разными типами псориаза.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Материал и методы.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Обследовано 76 больных псориазом (45 мужчин, 31 женщина) в возрасте от 16 до 66 лет. Наследственно обусловленный (I тип) вариант заболевания обнаружен у 46,1% (n=35) больных, спорадический (II тип) – у 53,9% (n=41).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Методы исследования: клинические, иммунологические, статистические.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Результаты.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У больных I типом псориаза первые проявления (дебют) дерматоза наблюдались преимуще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ственно в возрасте 5-20 лет, большинство пациентов были в возрасте 21-30 лет. Дебют II типа псориаза происходил чаще в возрасте старше 40 лет; большинство больных – в возрасте 41-60 лет. Иммунологические нарушения у больных наследственно-обусловленным псориазом выражены достоверно больше, чем у больных спорадическим.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Заключение.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Клиническое течение наследственно-обусловленного псориаза было более тяжелым в связи с более глубокими иммунологическими нарушениями. </w:t>
      </w:r>
    </w:p>
    <w:p w:rsidR="00AB1FBC" w:rsidRPr="00CC7D8A" w:rsidRDefault="00AB1FBC" w:rsidP="00ED0DB5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 w:rsidRPr="00CC7D8A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t>псориаз, I и II тип, клиника, иммунологические нарушения</w:t>
      </w:r>
    </w:p>
    <w:p w:rsidR="00ED0DB5" w:rsidRPr="00CC7D8A" w:rsidRDefault="00ED0DB5" w:rsidP="00ED0DB5">
      <w:pPr>
        <w:pStyle w:val="Pa1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AB1FBC" w:rsidRPr="00CC7D8A" w:rsidRDefault="00AB1FBC" w:rsidP="00ED0DB5">
      <w:pPr>
        <w:pStyle w:val="Pa1"/>
        <w:jc w:val="both"/>
        <w:rPr>
          <w:rFonts w:ascii="Times New Roman" w:hAnsi="Times New Roman" w:cs="Times New Roman"/>
          <w:color w:val="000000"/>
        </w:rPr>
      </w:pP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Кахарова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Р.А.,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Иброхимов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Ю.Х.,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Бахриева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З.С. </w:t>
      </w:r>
    </w:p>
    <w:p w:rsidR="00AB1FBC" w:rsidRPr="00CC7D8A" w:rsidRDefault="00AB1FBC" w:rsidP="00ED0DB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ВЫБОР ТАКТИКИ ХИРУРГИЧЕСКОГО ЛЕЧЕНИЯ ПАЦИЕНТОВ С ОСТРЫМ НАГНОЕНИЕМ ЭПИТЕЛИАЛЬНО-КОПЧИКОВОГО ХОДА</w:t>
      </w:r>
    </w:p>
    <w:p w:rsidR="00AB1FBC" w:rsidRPr="00CC7D8A" w:rsidRDefault="00AB1FBC" w:rsidP="00ED0DB5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исследования. </w:t>
      </w:r>
      <w:r w:rsidRPr="00CC7D8A">
        <w:rPr>
          <w:rFonts w:ascii="Times New Roman" w:hAnsi="Times New Roman" w:cs="Times New Roman"/>
          <w:color w:val="000000"/>
          <w:sz w:val="24"/>
          <w:szCs w:val="24"/>
        </w:rPr>
        <w:t xml:space="preserve">Оптимизировать тактику радикального хирургического лечения больных с острым нагноением эпителиального копчикового хода. </w:t>
      </w:r>
    </w:p>
    <w:p w:rsidR="00AB1FBC" w:rsidRPr="00CC7D8A" w:rsidRDefault="00AB1FBC" w:rsidP="00ED0DB5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 и методы. </w:t>
      </w:r>
      <w:r w:rsidRPr="00CC7D8A">
        <w:rPr>
          <w:rFonts w:ascii="Times New Roman" w:hAnsi="Times New Roman" w:cs="Times New Roman"/>
          <w:color w:val="000000"/>
          <w:sz w:val="24"/>
          <w:szCs w:val="24"/>
        </w:rPr>
        <w:t>Работа основана на результатах оперативного лечения 71 больного с острым нагноени</w:t>
      </w:r>
      <w:r w:rsidRPr="00CC7D8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ем эпителиального копчикового хода. Мужчин было 48 (67,6%), женщин – 23 (32,4%). Большая часть пациентов (80,5%) была в возрасте от 15 до 40 лет. </w:t>
      </w:r>
    </w:p>
    <w:p w:rsidR="00AB1FBC" w:rsidRPr="00CC7D8A" w:rsidRDefault="00AB1FBC" w:rsidP="00ED0DB5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Результаты. </w:t>
      </w:r>
      <w:r w:rsidRPr="00CC7D8A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часто - у 23,8% </w:t>
      </w:r>
      <w:proofErr w:type="spellStart"/>
      <w:r w:rsidRPr="00CC7D8A">
        <w:rPr>
          <w:rFonts w:ascii="Times New Roman" w:hAnsi="Times New Roman" w:cs="Times New Roman"/>
          <w:color w:val="000000"/>
          <w:sz w:val="24"/>
          <w:szCs w:val="24"/>
        </w:rPr>
        <w:t>оперированых</w:t>
      </w:r>
      <w:proofErr w:type="spellEnd"/>
      <w:r w:rsidRPr="00CC7D8A">
        <w:rPr>
          <w:rFonts w:ascii="Times New Roman" w:hAnsi="Times New Roman" w:cs="Times New Roman"/>
          <w:color w:val="000000"/>
          <w:sz w:val="24"/>
          <w:szCs w:val="24"/>
        </w:rPr>
        <w:t xml:space="preserve"> - осложнения развивались после экстренного паллиа</w:t>
      </w:r>
      <w:r w:rsidRPr="00CC7D8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тивного вскрытия абсцесса. Несколько реже - 13,4% - они отмечались после экстренных радикальных операций. Наиболее благополучными в этом отношении оказались отсроченные радикальные операции с активной предоперационной подготовкой. Частота осложнений в раннем послеоперационном периоде составляет 3,7%. </w:t>
      </w:r>
    </w:p>
    <w:p w:rsidR="00AB1FBC" w:rsidRPr="00CC7D8A" w:rsidRDefault="00AB1FBC" w:rsidP="00ED0DB5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Заключение. </w:t>
      </w:r>
      <w:r w:rsidRPr="00CC7D8A">
        <w:rPr>
          <w:rFonts w:ascii="Times New Roman" w:hAnsi="Times New Roman" w:cs="Times New Roman"/>
          <w:color w:val="000000"/>
          <w:sz w:val="24"/>
          <w:szCs w:val="24"/>
        </w:rPr>
        <w:t>Использование отсроченных радикальных операций с активной предоперационной подго</w:t>
      </w:r>
      <w:r w:rsidRPr="00CC7D8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товкой в лечении больных с абсцессами при остром нагноении эпителиального копчикового хода позволяет повысить качество хирургического лечения и снизить частоту осложнений данной категории больных. </w:t>
      </w:r>
    </w:p>
    <w:p w:rsidR="00AB1FBC" w:rsidRPr="00CC7D8A" w:rsidRDefault="00AB1FBC" w:rsidP="00ED0DB5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Ключевые слова: </w:t>
      </w:r>
      <w:r w:rsidRPr="00CC7D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эпителиальный копчиковый ход, абсцесс, предоперационная подготовка, выбор метода операции</w:t>
      </w:r>
    </w:p>
    <w:p w:rsidR="00ED0DB5" w:rsidRPr="00CC7D8A" w:rsidRDefault="00ED0DB5" w:rsidP="00ED0DB5">
      <w:pPr>
        <w:pStyle w:val="Pa1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ED0DB5" w:rsidRPr="00CC7D8A" w:rsidRDefault="00ED0DB5" w:rsidP="00ED0DB5">
      <w:pPr>
        <w:pStyle w:val="Pa1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ED0DB5" w:rsidRPr="00CC7D8A" w:rsidRDefault="00ED0DB5" w:rsidP="00ED0DB5">
      <w:pPr>
        <w:pStyle w:val="Pa1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AB1FBC" w:rsidRPr="00CC7D8A" w:rsidRDefault="00AB1FBC" w:rsidP="00ED0DB5">
      <w:pPr>
        <w:pStyle w:val="Pa1"/>
        <w:jc w:val="both"/>
        <w:rPr>
          <w:rFonts w:ascii="Times New Roman" w:hAnsi="Times New Roman" w:cs="Times New Roman"/>
          <w:color w:val="000000"/>
        </w:rPr>
      </w:pP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Маликоева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С.А. </w:t>
      </w:r>
    </w:p>
    <w:p w:rsidR="00AB1FBC" w:rsidRPr="00CC7D8A" w:rsidRDefault="00AB1FBC" w:rsidP="00ED0DB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ПЕРИНАТАЛЬНЫЕ ИСХОДЫ У ЖЕНЩИН, ПЕРЕЖИВШИХ АКУШЕРСКИЕ КРОВОТЕЧЕНИЯ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 xml:space="preserve">Цель исследования.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Изучить перинатальные исходы у женщин, переживших акушерские кровотечения.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Материал и методы.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Проведен ретроспективный анализ 255 карт новорожденных у женщин, беременность, роды и послеродовый период которых осложнились акушерскими кровотечениями. В основную – I группу - вошла 161 пациентка с послеродовым кровотечением (ПК), во II группу – сравнения – 61 женщина с преждевременной от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слойкой нормально расположенной плаценты (ПОНРП), в III группу – 33 женщины с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предлежанием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плаценты (ПП). Контрольную группу составили 100 родильниц без акушерских кровотечений.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Результаты.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Перинатальные исходы у женщин, переживших акушерские кровотечения, представлены, в основном, доношенными новорожденными (60,1±2,9%). Установлено, что в структуре перинатальной заболеваемости лидирует тяжелая асфиксия (60,0±1,6%), у каждого второго новорожденного диагностирована внутриутробная инфекция - пнев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мония (11,4±1,0%). Среди матерей, переживших акушерские кровотечения, установлен недостаточный антенатальный уход (43,2%); каждая вторая была повторнородящей (51,6); имели низкий социальный статус и неудовлетворительные бытовые условия 70% и высокую частоту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экстрагенитальной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патологии - 65,3%.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Заключение.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У женщин, перенесших кровотечение, установлена высокая частота перинатальной смертности и заболеваемости, в том числе тяжелая асфиксия и внутриутробная пневмония. Проведение клинического аудита пе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ринатальных потерь позволит решить организационные вопросы, снизить частоту перинатальной заболеваемости и смертности у данной категории женщин. </w:t>
      </w:r>
    </w:p>
    <w:p w:rsidR="00AB1FBC" w:rsidRPr="00CC7D8A" w:rsidRDefault="00AB1FBC" w:rsidP="00ED0DB5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 w:rsidRPr="00CC7D8A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t>перинатальная смертность, перинатальная заболеваемость, доношенные, недоношенные, репродуктив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softHyphen/>
        <w:t>ный возраст</w:t>
      </w:r>
    </w:p>
    <w:p w:rsidR="00ED0DB5" w:rsidRPr="00CC7D8A" w:rsidRDefault="00ED0DB5" w:rsidP="00ED0DB5">
      <w:pPr>
        <w:pStyle w:val="Pa23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AB1FBC" w:rsidRPr="00CC7D8A" w:rsidRDefault="00AB1FBC" w:rsidP="00ED0DB5">
      <w:pPr>
        <w:pStyle w:val="Pa23"/>
        <w:rPr>
          <w:rFonts w:ascii="Times New Roman" w:hAnsi="Times New Roman" w:cs="Times New Roman"/>
          <w:color w:val="000000"/>
        </w:rPr>
      </w:pPr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Мирзабекова Б.Т. </w:t>
      </w:r>
    </w:p>
    <w:p w:rsidR="00AB1FBC" w:rsidRPr="00CC7D8A" w:rsidRDefault="00AB1FBC" w:rsidP="00ED0DB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ПОТЕНЦИАЛЬНЫЕ ФАКТОРЫ РИСКА ПЕРИНАТАЛЬНЫХ ПОТЕРЬ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Цель исследования.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Установить значимые факторы риска развития перинатальных потерь (ПП) в регионе.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Материал и методы.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Проведен анализ ежегодных статистических сборников Национального Центра ста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тистики и медицинской информации Республики Таджикистан за период 2014-2018 гг., годовых отчетов ГУ «Таджикский НИИ акушерства, гинекологии и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перинатологии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». Путем ретроспективного анализа изучены материалы первичной документации 430 женщин с ПП. Основная группа – 160 доношенных новорожденных (масса 2500 г и выше). Группа сравнения – 170 недоношенных новорожденных при сроке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гестации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22-37 недель (масса менее 2000 г). Критерии исключения: врожденные пороки развития плода. Контрольная группа – 100 живых здоровых новорожденных. Сплошным методом </w:t>
      </w:r>
      <w:proofErr w:type="gram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проанализированы</w:t>
      </w:r>
      <w:proofErr w:type="gram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2000 случаев перинатальных потерь.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Результаты. </w:t>
      </w:r>
      <w:proofErr w:type="gram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В целом по стране за последние 5 лет установлена неустойчивая тенденция снижения перина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>тальной смертности (от 10,8 до 7,4 на 1000 живорожденных).</w:t>
      </w:r>
      <w:proofErr w:type="gram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Установлена зависимость ПП от качества оказания медицинских услуг на антенатальном уровне, возраста матери, паритета, срока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гестации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, массы новорожден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>ных. Установлена высокая частота ранней перинатальной смертности среди недоношенных новорожденных, в структуре которой лидирующей является асфиксия тяжелой степени, дыхательная недостаточность и внутриу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тробные инфекции.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Заключение.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Установлены потенциальные факторы риска перинатальной смертности, указывающие на орга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>низационные аспекты оказания медицинских услуг. Полученные результаты диктуют необходимость проведения клинического анализа каждого случая перинатальной смертности (случаев «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near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miss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», «почти потерянных», «едва не умерших») как резерва улучшения качества перинатальной помощи и снижения перинатальной за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болеваемости и смертности в регионе. </w:t>
      </w:r>
    </w:p>
    <w:p w:rsidR="00AB1FBC" w:rsidRPr="00CC7D8A" w:rsidRDefault="00AB1FBC" w:rsidP="00ED0DB5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 w:rsidRPr="00CC7D8A">
        <w:rPr>
          <w:rStyle w:val="A6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Ключевые слова: 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t>перинатальная смертность, перинатальные потери, перинатальная заболеваемость, доношенные, недоношенные</w:t>
      </w:r>
    </w:p>
    <w:p w:rsidR="00ED0DB5" w:rsidRPr="00CC7D8A" w:rsidRDefault="00ED0DB5" w:rsidP="00ED0DB5">
      <w:pPr>
        <w:pStyle w:val="Pa23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AB1FBC" w:rsidRPr="00CC7D8A" w:rsidRDefault="00AB1FBC" w:rsidP="00ED0DB5">
      <w:pPr>
        <w:pStyle w:val="Pa23"/>
        <w:rPr>
          <w:rFonts w:ascii="Times New Roman" w:hAnsi="Times New Roman" w:cs="Times New Roman"/>
          <w:color w:val="000000"/>
        </w:rPr>
      </w:pP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Мухаммаднабиева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Ф.А., Исмаилов К.И., Мухитдинова З.А. </w:t>
      </w:r>
    </w:p>
    <w:p w:rsidR="00AB1FBC" w:rsidRPr="00CC7D8A" w:rsidRDefault="00AB1FBC" w:rsidP="00ED0DB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ИММУННЫЙ ОТВЕТ ПРИ БОЛЕЗНИ ШЕНЛЕЙНА-ГЕНОХА У ДЕТЕЙ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Цель исследования.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Изучение состояния иммунного статуса у детей при болезни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Шенлейна-Геноха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Материал и методы.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Под наблюдением находились 50 детей с БШГ: мальчиков – 27, девочек – 23. В зависимо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сти от клинических форм дети были разделены на 4 группы. Контрольную группу составили 30 здоровых детей соответствующего возраста. Иммунный статус определяли методом иммуноферментного анализа.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Результаты.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Полученные данные говорят о том, что детей с геморрагическим диатезом, независимо от кли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нической формы, тяжести и течения, обнаружены СD20 и нарастание всех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IgA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IgM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IgG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и ЦИК, а также актива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ция гуморального иммунитета, что говорит об иммунном дисбалансе у детей с геморрагическими диатезами.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Заключение.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У детей с болезнью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Шенлейна-Геноха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и её различными клиническими формами имеет место увеличение в периферической крови количества Т-лимфоцитов с рецепторами СD4, уменьшение количества клеток с рецепторами СD8, с увеличением коэффициента СD4/ СD8. В сыворотке крови этих больных увели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>чено среднее содержание иммуноглобулинов</w:t>
      </w:r>
      <w:proofErr w:type="gram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А</w:t>
      </w:r>
      <w:proofErr w:type="gram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и G, что сочеталось с увеличением количества лимфоцитов с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цитоиммунологическими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маркерами СD20. </w:t>
      </w:r>
    </w:p>
    <w:p w:rsidR="00AB1FBC" w:rsidRPr="00CC7D8A" w:rsidRDefault="00AB1FBC" w:rsidP="00ED0DB5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 w:rsidRPr="00CC7D8A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болезнь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Шенлейна-Геноха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, геморрагический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васкулит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, клеточный иммунитет, фагоцитарный индекс, нефротический синдром,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макуло-папулезная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 сыпь, петехии</w:t>
      </w:r>
    </w:p>
    <w:p w:rsidR="00ED0DB5" w:rsidRPr="00CC7D8A" w:rsidRDefault="00ED0DB5" w:rsidP="00ED0DB5">
      <w:pPr>
        <w:pStyle w:val="Pa23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AB1FBC" w:rsidRPr="00CC7D8A" w:rsidRDefault="00AB1FBC" w:rsidP="00ED0DB5">
      <w:pPr>
        <w:pStyle w:val="Pa23"/>
        <w:rPr>
          <w:rFonts w:ascii="Times New Roman" w:hAnsi="Times New Roman" w:cs="Times New Roman"/>
          <w:color w:val="000000"/>
        </w:rPr>
      </w:pP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Орипова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Ш.Н.,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Байматова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З.К., Алиева Р.Я.,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Орипова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Р.Ш.,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Мулкамонова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Л. </w:t>
      </w:r>
    </w:p>
    <w:p w:rsidR="00AB1FBC" w:rsidRPr="00CC7D8A" w:rsidRDefault="00AB1FBC" w:rsidP="00ED0DB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УЛЬТРАЗВУКОВАЯ ДИАГНОСТИКА ПЛАЦЕНТАРНОЙ НЕДОСТАТОЧНОСТИ У ЖЕНЩИН С ИНСУЛИНОРЕЗИСТЕНТНОСТЬЮ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Цель исследования.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Провести оценку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допплерометрических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показателей у женщин с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инсулинорезистент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>ностью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и эффективности проведенных мероприятий.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Материал и методы.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Всего обследовано 120 женщин, которым проводилось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допплерометрическое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исследо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вание для оценки эффективности коррекции нарушений кровотока в системе мать-плацента-плод.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Результаты.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Установлено снижение частоты развития нарушений кровотока в системе мать-плацента-плод и его сочетанных, более тяжелых форм после проведенной профилактики плацентарной недостаточности.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Заключение.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Донаторы оксида азота (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тивортин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) в сочетании с токоферола ацетатом способствуют нормали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зации плодово-плацентарного кровотока у женщин с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инсулинорезистентностью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и могут быть рекомендованы для коррекции нарушений во всех звеньях системы мать-плацента-плод. </w:t>
      </w:r>
    </w:p>
    <w:p w:rsidR="00AB1FBC" w:rsidRPr="00CC7D8A" w:rsidRDefault="00AB1FBC" w:rsidP="00ED0DB5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 w:rsidRPr="00CC7D8A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инсулинорезистентность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>, плацентарная недостаточность, профилактика, донатор оксида азота</w:t>
      </w:r>
    </w:p>
    <w:p w:rsidR="00ED0DB5" w:rsidRPr="00CC7D8A" w:rsidRDefault="00ED0DB5" w:rsidP="00ED0DB5">
      <w:pPr>
        <w:pStyle w:val="Pa23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AB1FBC" w:rsidRPr="00CC7D8A" w:rsidRDefault="00AB1FBC" w:rsidP="00ED0DB5">
      <w:pPr>
        <w:pStyle w:val="Pa23"/>
        <w:rPr>
          <w:rFonts w:ascii="Times New Roman" w:hAnsi="Times New Roman" w:cs="Times New Roman"/>
          <w:color w:val="000000"/>
        </w:rPr>
      </w:pPr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Рахимова Б.С. </w:t>
      </w:r>
    </w:p>
    <w:p w:rsidR="00AB1FBC" w:rsidRPr="00CC7D8A" w:rsidRDefault="00AB1FBC" w:rsidP="00ED0DB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ЗНАЧИМОСТЬ ПРОВОЦИРУЮЩИХ И СОДЕЙСТВУЮЩИХ ФАКТОРОВ РИСКА РАЗВИТИЯ ПРОЛАПСА ТАЗОВЫХ ОРГАНОВ У ЖИТЕЛЬНИЦ ТАДЖИКИСТАНА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Цель исследования.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Изучить значимость </w:t>
      </w:r>
      <w:proofErr w:type="gram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факторов риска развития пролапса тазовых органов</w:t>
      </w:r>
      <w:proofErr w:type="gram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у женщин различных возрастных групп, жительниц Таджикистана.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 xml:space="preserve">Материал и методы.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Ретроспективный анализ 128 историй болезни женщин, на которых воздействовали факторы риска развития пролапса тазовых органов.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Результаты.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Из провоцирующих факторов наиболее значимым фактором риска развития пролапса тазовых органов у жительниц Таджикистана является паритет родов, из содействующих факторов – ожирение, подъем тяжестей и запоры, а степень тяжести пролапса тазовых органов зависит от возраста женщин.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Заключение.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Профилактика пролапса тазовых органов у жительниц Таджикистана должна основываться на устранении управляемых факторов риска развития данной патологии. </w:t>
      </w:r>
    </w:p>
    <w:p w:rsidR="00AB1FBC" w:rsidRPr="00CC7D8A" w:rsidRDefault="00AB1FBC" w:rsidP="00ED0DB5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 w:rsidRPr="00CC7D8A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t>пролапс тазовых органов, профилактика, факторы риска, женщины Таджикистана, профи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softHyphen/>
        <w:t>лактика</w:t>
      </w:r>
    </w:p>
    <w:p w:rsidR="00ED0DB5" w:rsidRPr="00CC7D8A" w:rsidRDefault="00ED0DB5" w:rsidP="00ED0DB5">
      <w:pPr>
        <w:pStyle w:val="Pa23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AB1FBC" w:rsidRPr="00CC7D8A" w:rsidRDefault="00AB1FBC" w:rsidP="00ED0DB5">
      <w:pPr>
        <w:pStyle w:val="Pa23"/>
        <w:rPr>
          <w:rFonts w:ascii="Times New Roman" w:hAnsi="Times New Roman" w:cs="Times New Roman"/>
          <w:color w:val="000000"/>
        </w:rPr>
      </w:pP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Шарипов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Х.С.,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Зарипов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А.Р., Сабуров С.К. </w:t>
      </w:r>
    </w:p>
    <w:p w:rsidR="00AB1FBC" w:rsidRPr="00CC7D8A" w:rsidRDefault="00AB1FBC" w:rsidP="00ED0DB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КОМПЛЕКСНАЯ ОЦЕНКА ПРЕДПРОТЕЗНОГО СОСТОЯНИЯ ОРГАНОВ И ТКАНЕЙ ПОЛОСТИ РТА В КЛЮЧЕВОЙ ВОЗРАСТНОЙ ГРУППЕ ВЗРОСЛОГО НАСЕЛЕНИЯ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Цель исследования.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Изучение исходного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предпротезного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состояния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кариесологического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пародонтологи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>ческого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и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мукологического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состояния полости рта в ключевой возрастной группе взрослого населения.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Материал и методы.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Обследованы 100 пациентов (56 женщин и 44 мужчины) в ключевой возрастной группе взрослого населения (35-44 лет) при их обращении за стоматологической помощью. Основными критериями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предпротезной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оценки состояния органов и тканей полости рта явились: показатель интенсивности кариеса зубов; индекс гигиены полости рта по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Грину-Вермиллиону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; удельный вес проставленных пломб оптимального или неудовлетворительного качества; наличие витальной пульпы зуба; неудовлетворительные признаки ранее на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ложенных пломб; неудовлетворительные признаки внутриканального и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проекционно-периапикального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лечения.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Результаты.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Усреднённое значение исследуемого показателя у обследованных пациентов составило 12,56±1,06. Среди этих же обследованных лиц удельный вес структурных элементов «К», «Р», «Х», «П» и «У» соответствует 7,17%, 11,23%, 27,63%, 1,59% и 52,38%.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Заключение.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Во всех группах обследованного контингента больных из клинико-рентгенологических признаков неудовлетворительного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эндодонтического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лечения были выявлены такие признаки, как болезненная перкуссия (15,9%),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околоверхушечные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очаги костной резорбции (28,4%),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заверхушечное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выведение пломбировочного ма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териала (6,6%), пломбирование корневого канала на 2/3 и ½ длины (соответственно 19,7% и 29,4%). </w:t>
      </w:r>
    </w:p>
    <w:p w:rsidR="00AB1FBC" w:rsidRPr="00CC7D8A" w:rsidRDefault="00AB1FBC" w:rsidP="00ED0DB5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 w:rsidRPr="00CC7D8A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кариесологическое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 состояние, интенсивность кариеса зубов,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пародонтологическое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 состояние, пломбировочный материал,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эндодонтическое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 состояние,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околоверхушечная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 резорбция, гигиеническое состояние</w:t>
      </w:r>
    </w:p>
    <w:p w:rsidR="00ED0DB5" w:rsidRPr="00CC7D8A" w:rsidRDefault="00ED0DB5" w:rsidP="00ED0DB5">
      <w:pPr>
        <w:pStyle w:val="Pa23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ED0DB5" w:rsidRPr="00CC7D8A" w:rsidRDefault="00ED0DB5" w:rsidP="00ED0DB5">
      <w:pPr>
        <w:pStyle w:val="Pa23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ED0DB5" w:rsidRPr="00CC7D8A" w:rsidRDefault="00ED0DB5" w:rsidP="00ED0DB5">
      <w:pPr>
        <w:pStyle w:val="Pa23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AB1FBC" w:rsidRPr="00CC7D8A" w:rsidRDefault="00AB1FBC" w:rsidP="00ED0DB5">
      <w:pPr>
        <w:pStyle w:val="Pa23"/>
        <w:rPr>
          <w:rFonts w:ascii="Times New Roman" w:hAnsi="Times New Roman" w:cs="Times New Roman"/>
          <w:color w:val="000000"/>
        </w:rPr>
      </w:pP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Шафозода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М.Б., Каримов С.М., Одинаев И.С. </w:t>
      </w:r>
    </w:p>
    <w:p w:rsidR="00AB1FBC" w:rsidRPr="00CC7D8A" w:rsidRDefault="00AB1FBC" w:rsidP="00ED0DB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 ИСХОДНОГО СОСТОЯНИЯ НЕСЪЕМНЫХ ПРОТЕЗОВ И КРАЕВОГО </w:t>
      </w:r>
      <w:proofErr w:type="gramStart"/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ПАРОДОНТА</w:t>
      </w:r>
      <w:proofErr w:type="gramEnd"/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ОПОРНЫХ ЗУБОВ В СИСТЕМЕ ОРТОПЕДИЧЕСКОЙ КОНСТРУКЦИИ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Цель исследования.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Комплексная оценка исходного состояния несъемных протезов и краевого пародонта опорных зубов в системе ортопедической конструкции.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Материал и методы.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В соответствии с указанными критериями в клиническое исследование включили 548 па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циентов. 59,5% пациентов (326 чел.) составляли женщины.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Было исследовано 832 </w:t>
      </w:r>
      <w:proofErr w:type="gram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несъемных</w:t>
      </w:r>
      <w:proofErr w:type="gram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мостовидных протеза по параметрам функциональности, надежности, эстетики. У пациентов выяснили анамнез в отношении этих кон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струкций, а также время пользования ими. Среди исследованных конструкций изучались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протетические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осложнения и дефекты. На основе индивидуальных регистрационных карт был сформирован сводный массив данных, ставший основой для клинического анализа несъемных конструкций и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околозубных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тканей опорных зубов.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Результаты.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Самым распространенным нежелательным явлением среди исследованных единиц несъемных протезов были поломки конструкций (31,6%). На втором месте по частоте оказались перелом и разрушение опорных зубов под коронками (38,0% случаев). Далее по частоте следуют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пародонтологические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осложнения в области краевого пародонта опорных зубов (23,6% от общего числа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протетических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осложнений). Пульпиты и рецессия десны в области опорных зубов были характерны лишь для штампованно-паяных протезов, на их долю пришлось 6,8%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протетических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осложнений.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Заключение.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Частота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пародонтологических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осложнений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протетического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генеза при использовании штам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пованно-паяных протезов является определяющей для совокупности доли названных осложнений во все сроки использования этими протезами. </w:t>
      </w:r>
    </w:p>
    <w:p w:rsidR="00AB1FBC" w:rsidRPr="00CC7D8A" w:rsidRDefault="00AB1FBC" w:rsidP="00ED0DB5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 w:rsidRPr="00CC7D8A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несъемный протез, краевой пародонт, ортопедическая конструкция,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протетическое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 осложнение</w:t>
      </w:r>
    </w:p>
    <w:p w:rsidR="00ED0DB5" w:rsidRPr="00CC7D8A" w:rsidRDefault="00ED0DB5" w:rsidP="00ED0DB5">
      <w:pPr>
        <w:pStyle w:val="Pa23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AB1FBC" w:rsidRPr="00CC7D8A" w:rsidRDefault="00AB1FBC" w:rsidP="00ED0DB5">
      <w:pPr>
        <w:pStyle w:val="Pa23"/>
        <w:rPr>
          <w:rFonts w:ascii="Times New Roman" w:hAnsi="Times New Roman" w:cs="Times New Roman"/>
          <w:color w:val="000000"/>
        </w:rPr>
      </w:pP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Шукурова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С.М.,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Шодиев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Б.Р.,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Абдуллоев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М.Ф.,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Раджабов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Р.М.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b/>
          <w:bCs/>
          <w:color w:val="000000"/>
        </w:rPr>
      </w:pPr>
      <w:r w:rsidRPr="00CC7D8A">
        <w:rPr>
          <w:rFonts w:ascii="Times New Roman" w:hAnsi="Times New Roman" w:cs="Times New Roman"/>
          <w:b/>
          <w:bCs/>
          <w:color w:val="000000"/>
        </w:rPr>
        <w:t>РЕВМАТОИДНЫЙ АРТРИТ В АССОЦИАЦИИ С СОПУТСТВУЮЩИМИ ЗАБОЛЕВАНИЯМИ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Цель исследования.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Охарактеризовать частоту и спектр сопутствующих состояний у больных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ревматоидным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артритом (РА).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Материал и методы.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Проанализированы результаты комплексного обследования и лечения 170 больных РА (131 женщина и 39 мужчин) на предмет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коморбидности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. Представлен индекс 10-летней выживаемости (индекс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Charlson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), а также характер медикаментозной терапии сопутствующих заболеваний в динамике у больных РА.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Результаты.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Коморбидные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состояния у больных РА встречаются часто (89,3%), а в 61,7% случаев наблюдалось существование нескольких сопутствующих заболеваний (двух и более). Среди кардиоваскулярной патологии превалирует артериальная гипертензия (60,5%) и ишемическая болезнь сердца (34,3%), на втором месте - вто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ричный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остеоартроз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и остеохондроз (59,4%) и замыкают тройку лидерства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гастропатии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(42,9%). Динамическое наблюдение (1 год) частоты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коморбидных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состояний у больных РА, показало достоверное увеличение числа пациентов с несколькими сопутствующими заболеваниями.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Анализ медикаментозной терапии у больных РА с сопутствующей патологией выявил ряд особенности: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антигипертензивные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и ингибиторы протонной помпы являлись наиболее часто назначаемыми средствами: 71,7% и 68,8% соответственно. Каждый третий больной изменил режим патогенетической терапии ввиду обо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стрения патологии желудочно-кишечного тракта, повышения артериального давления и снижения показателей гемоглобина. </w:t>
      </w:r>
    </w:p>
    <w:p w:rsidR="00AB1FBC" w:rsidRPr="00CC7D8A" w:rsidRDefault="00AB1FBC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Заключение. 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У больных ревматическими заболеваниями определяется от двух и более сопутствующих забо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леваний. Частота, характер и индекс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коморбидности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находятся в прямой зависимости от вида ревматического заболевания и пола. Наибольшее количество сопутствующих заболеваний наблюдалось у больных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остеоартро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>зом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и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ревматоидным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артритом. Среди сопутствующих состояний у больных ревматическими заболеваниями лидирующие позиции занимают кардиоваскулярные заболевания. </w:t>
      </w:r>
    </w:p>
    <w:p w:rsidR="00AB1FBC" w:rsidRPr="00CC7D8A" w:rsidRDefault="00AB1FBC" w:rsidP="00ED0DB5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 w:rsidRPr="00CC7D8A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ревматоидный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 артрит,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коморбидность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, индекс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коморбидности</w:t>
      </w:r>
      <w:proofErr w:type="spellEnd"/>
    </w:p>
    <w:p w:rsidR="00AB1FBC" w:rsidRPr="00CC7D8A" w:rsidRDefault="00AB1FBC" w:rsidP="00ED0D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DB5" w:rsidRPr="00CC7D8A" w:rsidRDefault="00ED0DB5" w:rsidP="00ED0DB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СЛУЧАЙ ИЗ ПРАКТИКИ</w:t>
      </w:r>
    </w:p>
    <w:p w:rsidR="00ED0DB5" w:rsidRPr="00CC7D8A" w:rsidRDefault="00ED0DB5" w:rsidP="00ED0DB5">
      <w:pPr>
        <w:pStyle w:val="Pa23"/>
        <w:rPr>
          <w:rStyle w:val="A7"/>
          <w:rFonts w:ascii="Times New Roman" w:hAnsi="Times New Roman" w:cs="Times New Roman"/>
          <w:sz w:val="24"/>
          <w:szCs w:val="24"/>
        </w:rPr>
      </w:pPr>
    </w:p>
    <w:p w:rsidR="00ED0DB5" w:rsidRPr="00CC7D8A" w:rsidRDefault="00ED0DB5" w:rsidP="00ED0DB5">
      <w:pPr>
        <w:pStyle w:val="Pa23"/>
        <w:rPr>
          <w:rFonts w:ascii="Times New Roman" w:hAnsi="Times New Roman" w:cs="Times New Roman"/>
          <w:color w:val="000000"/>
        </w:rPr>
      </w:pPr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 xml:space="preserve">Маликов М.Х., </w:t>
      </w:r>
      <w:proofErr w:type="spellStart"/>
      <w:proofErr w:type="gram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Карим-заде</w:t>
      </w:r>
      <w:proofErr w:type="spellEnd"/>
      <w:proofErr w:type="gram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Г.Д., Саидов И.С.,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Джононов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Д.Д.,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Махмадкулова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Н.А. </w:t>
      </w:r>
    </w:p>
    <w:p w:rsidR="00ED0DB5" w:rsidRPr="00CC7D8A" w:rsidRDefault="00ED0DB5" w:rsidP="00ED0DB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КОРРЕКЦИЯ ПОСЛЕОЖОГОВОЙ РУБЦОВОЙ ДЕФОРМАЦИИ МОЛОЧНОЙ ЖЕЛЕЗЫ</w:t>
      </w:r>
    </w:p>
    <w:p w:rsidR="00ED0DB5" w:rsidRPr="00CC7D8A" w:rsidRDefault="00ED0DB5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Аннотация </w:t>
      </w:r>
    </w:p>
    <w:p w:rsidR="00ED0DB5" w:rsidRPr="00CC7D8A" w:rsidRDefault="00ED0DB5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В статье описывается клиническое наблюдение незамужней пациентки с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постожоговой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рубцовой деформацией молочной железы, стягиванием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сосково-ареолярного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комплекса и отсутствием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инфрамаммарной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складки. Вслед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ствие полученного ожога в детстве развилась стойкая деформация молочной железы с нарушением ее формы и уменьшением в размере. Целью выполненной операции явилось улучшение формы молочной железы, устранение деформации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сосково-ареолярного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комплекса с формированием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инфрамаммарной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складки. Преимущество мест</w:t>
      </w: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но-пластического метода операции заключалось в том, что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одномоментно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была устранена деформация молочной железы и получен удовлетворительный функциональный и эстетический результат у молодой девочки. </w:t>
      </w:r>
    </w:p>
    <w:p w:rsidR="00ED0DB5" w:rsidRPr="00CC7D8A" w:rsidRDefault="00ED0DB5" w:rsidP="00ED0DB5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proofErr w:type="gramStart"/>
      <w:r w:rsidRPr="00CC7D8A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молочная железа, реконструкция молочной железы,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сосково-ареолярный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 комплекс,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инфрамам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softHyphen/>
        <w:t>марная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 складка, трансплантаты, деформации, хирургическая коррекция</w:t>
      </w:r>
      <w:proofErr w:type="gramEnd"/>
    </w:p>
    <w:p w:rsidR="00ED0DB5" w:rsidRPr="00CC7D8A" w:rsidRDefault="00ED0DB5" w:rsidP="00ED0DB5">
      <w:pPr>
        <w:pStyle w:val="Pa23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ED0DB5" w:rsidRPr="00CC7D8A" w:rsidRDefault="00ED0DB5" w:rsidP="00ED0DB5">
      <w:pPr>
        <w:pStyle w:val="Pa23"/>
        <w:rPr>
          <w:rFonts w:ascii="Times New Roman" w:hAnsi="Times New Roman" w:cs="Times New Roman"/>
          <w:color w:val="000000"/>
        </w:rPr>
      </w:pPr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Расулова Г.Т., </w:t>
      </w:r>
      <w:proofErr w:type="spellStart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>Саидова</w:t>
      </w:r>
      <w:proofErr w:type="spellEnd"/>
      <w:r w:rsidRPr="00CC7D8A">
        <w:rPr>
          <w:rFonts w:ascii="Times New Roman" w:hAnsi="Times New Roman" w:cs="Times New Roman"/>
          <w:b/>
          <w:bCs/>
          <w:i/>
          <w:iCs/>
          <w:color w:val="000000"/>
        </w:rPr>
        <w:t xml:space="preserve"> М.И., Ибрагимова Н.Т. </w:t>
      </w:r>
    </w:p>
    <w:p w:rsidR="00ED0DB5" w:rsidRPr="00CC7D8A" w:rsidRDefault="00ED0DB5" w:rsidP="00ED0DB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ПРЕРЫВАНИЕ БЕРЕМЕННОСТИ ПРИ БОЛЕЗНИ БЕХЧЕТА</w:t>
      </w:r>
    </w:p>
    <w:p w:rsidR="00ED0DB5" w:rsidRPr="00CC7D8A" w:rsidRDefault="00ED0DB5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Аннотация </w:t>
      </w:r>
    </w:p>
    <w:p w:rsidR="00ED0DB5" w:rsidRPr="00CC7D8A" w:rsidRDefault="00ED0DB5" w:rsidP="00ED0DB5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В статье описан клинический случай усугубления течения редко встречающейся формы системного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васкулита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– болезни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Бехчета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на фоне наступившей беременности. Обострение заболевания послужило основанием для медикаментозного прерывания беременности по медицинским показаниям. Прерывание беременности требовалось для того, чтобы вне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гестации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начать специфическую терапию, назначение которой на фоне беременности противопоказано ввиду выраженного </w:t>
      </w:r>
      <w:proofErr w:type="spellStart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тератогенного</w:t>
      </w:r>
      <w:proofErr w:type="spellEnd"/>
      <w:r w:rsidRPr="00CC7D8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эффекта препаратов. </w:t>
      </w:r>
    </w:p>
    <w:p w:rsidR="00ED0DB5" w:rsidRPr="00CC7D8A" w:rsidRDefault="00ED0DB5" w:rsidP="00ED0DB5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 w:rsidRPr="00CC7D8A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CC7D8A">
        <w:rPr>
          <w:rStyle w:val="A6"/>
          <w:rFonts w:ascii="Times New Roman" w:hAnsi="Times New Roman" w:cs="Times New Roman"/>
          <w:sz w:val="24"/>
          <w:szCs w:val="24"/>
        </w:rPr>
        <w:t xml:space="preserve">беременность, болезнь </w:t>
      </w:r>
      <w:proofErr w:type="spellStart"/>
      <w:r w:rsidRPr="00CC7D8A">
        <w:rPr>
          <w:rStyle w:val="A6"/>
          <w:rFonts w:ascii="Times New Roman" w:hAnsi="Times New Roman" w:cs="Times New Roman"/>
          <w:sz w:val="24"/>
          <w:szCs w:val="24"/>
        </w:rPr>
        <w:t>Бехчета</w:t>
      </w:r>
      <w:proofErr w:type="spellEnd"/>
      <w:r w:rsidRPr="00CC7D8A">
        <w:rPr>
          <w:rStyle w:val="A6"/>
          <w:rFonts w:ascii="Times New Roman" w:hAnsi="Times New Roman" w:cs="Times New Roman"/>
          <w:sz w:val="24"/>
          <w:szCs w:val="24"/>
        </w:rPr>
        <w:t>, медикаментозный аборт</w:t>
      </w:r>
    </w:p>
    <w:p w:rsidR="00ED0DB5" w:rsidRPr="00CC7D8A" w:rsidRDefault="00ED0DB5" w:rsidP="00ED0D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0DB5" w:rsidRPr="00CC7D8A" w:rsidSect="0041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FBC"/>
    <w:rsid w:val="004145D4"/>
    <w:rsid w:val="00AB1FBC"/>
    <w:rsid w:val="00CC7D8A"/>
    <w:rsid w:val="00ED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AB1FBC"/>
    <w:pPr>
      <w:autoSpaceDE w:val="0"/>
      <w:autoSpaceDN w:val="0"/>
      <w:adjustRightInd w:val="0"/>
      <w:spacing w:after="0" w:line="221" w:lineRule="atLeast"/>
    </w:pPr>
    <w:rPr>
      <w:rFonts w:ascii="Palatino Linotype" w:hAnsi="Palatino Linotype"/>
      <w:sz w:val="24"/>
      <w:szCs w:val="24"/>
    </w:rPr>
  </w:style>
  <w:style w:type="character" w:customStyle="1" w:styleId="A20">
    <w:name w:val="A2"/>
    <w:uiPriority w:val="99"/>
    <w:rsid w:val="00AB1FBC"/>
    <w:rPr>
      <w:rFonts w:cs="Palatino Linotype"/>
      <w:color w:val="000000"/>
      <w:sz w:val="28"/>
      <w:szCs w:val="28"/>
    </w:rPr>
  </w:style>
  <w:style w:type="paragraph" w:customStyle="1" w:styleId="Pa3">
    <w:name w:val="Pa3"/>
    <w:basedOn w:val="a"/>
    <w:next w:val="a"/>
    <w:uiPriority w:val="99"/>
    <w:rsid w:val="00AB1FBC"/>
    <w:pPr>
      <w:autoSpaceDE w:val="0"/>
      <w:autoSpaceDN w:val="0"/>
      <w:adjustRightInd w:val="0"/>
      <w:spacing w:after="0" w:line="221" w:lineRule="atLeast"/>
    </w:pPr>
    <w:rPr>
      <w:rFonts w:ascii="Palatino Linotype" w:hAnsi="Palatino Linotype"/>
      <w:sz w:val="24"/>
      <w:szCs w:val="24"/>
    </w:rPr>
  </w:style>
  <w:style w:type="character" w:customStyle="1" w:styleId="A6">
    <w:name w:val="A6"/>
    <w:uiPriority w:val="99"/>
    <w:rsid w:val="00AB1FBC"/>
    <w:rPr>
      <w:rFonts w:cs="Palatino Linotype"/>
      <w:i/>
      <w:iCs/>
      <w:color w:val="000000"/>
      <w:sz w:val="18"/>
      <w:szCs w:val="18"/>
    </w:rPr>
  </w:style>
  <w:style w:type="paragraph" w:customStyle="1" w:styleId="Pa22">
    <w:name w:val="Pa22"/>
    <w:basedOn w:val="a"/>
    <w:next w:val="a"/>
    <w:uiPriority w:val="99"/>
    <w:rsid w:val="00AB1FBC"/>
    <w:pPr>
      <w:autoSpaceDE w:val="0"/>
      <w:autoSpaceDN w:val="0"/>
      <w:adjustRightInd w:val="0"/>
      <w:spacing w:after="0" w:line="201" w:lineRule="atLeast"/>
    </w:pPr>
    <w:rPr>
      <w:rFonts w:ascii="Palatino Linotype" w:hAnsi="Palatino Linotype"/>
      <w:sz w:val="24"/>
      <w:szCs w:val="24"/>
    </w:rPr>
  </w:style>
  <w:style w:type="paragraph" w:customStyle="1" w:styleId="Pa23">
    <w:name w:val="Pa23"/>
    <w:basedOn w:val="a"/>
    <w:next w:val="a"/>
    <w:uiPriority w:val="99"/>
    <w:rsid w:val="00AB1FBC"/>
    <w:pPr>
      <w:autoSpaceDE w:val="0"/>
      <w:autoSpaceDN w:val="0"/>
      <w:adjustRightInd w:val="0"/>
      <w:spacing w:after="0" w:line="221" w:lineRule="atLeast"/>
    </w:pPr>
    <w:rPr>
      <w:rFonts w:ascii="Palatino Linotype" w:hAnsi="Palatino Linotype"/>
      <w:sz w:val="24"/>
      <w:szCs w:val="24"/>
    </w:rPr>
  </w:style>
  <w:style w:type="character" w:customStyle="1" w:styleId="A7">
    <w:name w:val="A7"/>
    <w:uiPriority w:val="99"/>
    <w:rsid w:val="00AB1FBC"/>
    <w:rPr>
      <w:rFonts w:cs="Palatino Linotype"/>
      <w:b/>
      <w:bCs/>
      <w:i/>
      <w:iCs/>
      <w:color w:val="000000"/>
      <w:sz w:val="12"/>
      <w:szCs w:val="12"/>
    </w:rPr>
  </w:style>
  <w:style w:type="paragraph" w:customStyle="1" w:styleId="Pa21">
    <w:name w:val="Pa21"/>
    <w:basedOn w:val="a"/>
    <w:next w:val="a"/>
    <w:uiPriority w:val="99"/>
    <w:rsid w:val="00AB1FBC"/>
    <w:pPr>
      <w:autoSpaceDE w:val="0"/>
      <w:autoSpaceDN w:val="0"/>
      <w:adjustRightInd w:val="0"/>
      <w:spacing w:after="0" w:line="281" w:lineRule="atLeast"/>
    </w:pPr>
    <w:rPr>
      <w:rFonts w:ascii="Palatino Linotype" w:hAnsi="Palatino Linotyp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4062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2021-01-11T10:07:00Z</dcterms:created>
  <dcterms:modified xsi:type="dcterms:W3CDTF">2021-01-11T10:58:00Z</dcterms:modified>
</cp:coreProperties>
</file>