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F68EE" w:rsidRDefault="007C01FA" w:rsidP="008F68EE">
      <w:pPr>
        <w:ind w:firstLine="284"/>
        <w:jc w:val="center"/>
        <w:rPr>
          <w:rFonts w:ascii="Times New Roman" w:eastAsia="PalatinoLinotype-Roman" w:hAnsi="Times New Roman" w:cs="Times New Roman"/>
          <w:b/>
          <w:sz w:val="24"/>
          <w:szCs w:val="24"/>
        </w:rPr>
      </w:pPr>
      <w:r w:rsidRPr="008F68EE">
        <w:rPr>
          <w:rFonts w:ascii="Times New Roman" w:eastAsia="PalatinoLinotype-Roman" w:hAnsi="Times New Roman" w:cs="Times New Roman"/>
          <w:b/>
          <w:sz w:val="24"/>
          <w:szCs w:val="24"/>
          <w:lang w:val="en-US"/>
        </w:rPr>
        <w:t>THEORY AND PRACTICE OF MEDICINE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Yorov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Y.B.,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Rabiev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H.S.</w:t>
      </w:r>
    </w:p>
    <w:p w:rsidR="007C01FA" w:rsidRPr="008F68EE" w:rsidRDefault="007C01FA" w:rsidP="008F68E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8F68EE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DIFFERENTIATED SURGICAL MANAGEMENT</w:t>
      </w:r>
      <w:r w:rsidR="008F68EE" w:rsidRPr="008F68EE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8F68EE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IN ACUTE CHOLECYSTOPANKREATITIS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Aim.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Improving the results of surgical treatment of patients with acute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cholecystopancreatitis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.</w:t>
      </w:r>
      <w:proofErr w:type="gram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Material and methods.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The results of complex diagnostics and surgical treatment of 130 patients with acute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cholecystopancreatitis</w:t>
      </w:r>
      <w:proofErr w:type="spellEnd"/>
      <w:r w:rsidR="008F68EE" w:rsidRPr="008F68EE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were analyzed. All patients were divided into 2 groups. The control group (group I) consisted of 70</w:t>
      </w:r>
      <w:r w:rsidR="008F68EE" w:rsidRPr="008F68EE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(53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,8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%) patients who underwent traditional, open surgical interventions. The remaining 60 (46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,2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%) patients who made</w:t>
      </w:r>
      <w:r w:rsidR="008F68EE" w:rsidRPr="008F68EE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up the main group (Group II) underwent minimally invasive surgical interventions.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The use of minimally invasive surgical interventions in patients with acute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cholecystopancreatitis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in combination</w:t>
      </w:r>
      <w:r w:rsidR="008F68EE" w:rsidRPr="008F68EE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with developed and improved methods of surgical treatment of acute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cholecystopancreatitis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 as well as with local administration</w:t>
      </w:r>
      <w:r w:rsidRPr="007C01FA">
        <w:rPr>
          <w:rFonts w:ascii="Times New Roman" w:eastAsia="PalatinoLinotype-Roman" w:hAnsi="Times New Roman" w:cs="Times New Roman"/>
          <w:sz w:val="24"/>
          <w:szCs w:val="24"/>
        </w:rPr>
        <w:t>т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of drugs through the round ligament of the liver, helps to reduce the intensity of inflammatory changes in the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pancreatobiliary</w:t>
      </w:r>
      <w:proofErr w:type="spellEnd"/>
      <w:r w:rsidR="008F68EE" w:rsidRPr="008F68EE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zone after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cholecystectomy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 and also increases measures to prevent progression acute pancreatitis. In these patients, a smoother</w:t>
      </w:r>
      <w:r w:rsidR="008F68EE" w:rsidRPr="008F68EE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course of the postoperative period is noted, suppression of the resulting systemic membrane-destabilizing processes, a decrease</w:t>
      </w:r>
      <w:r w:rsidR="008F68EE" w:rsidRPr="008F68EE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in the intensity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endotoxemia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and lipid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peroxidation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processes are observed.</w:t>
      </w:r>
    </w:p>
    <w:p w:rsidR="007C01FA" w:rsidRPr="008F68EE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Conclusion.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Thus, laparoscopic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cholecystectomy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 as well as the use of puncture-drainage interventions under</w:t>
      </w:r>
      <w:r w:rsidR="008F68EE" w:rsidRPr="008F68EE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visual ultrasound monitoring on the gallbladder in patients with aggravated somatic status, i.e. minimally</w:t>
      </w:r>
      <w:r w:rsidR="008F68EE" w:rsidRPr="008F68EE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invasive interventions showed better results in the immediate postoperative period than with open traditional</w:t>
      </w:r>
      <w:r w:rsidR="008F68EE" w:rsidRPr="008F68EE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F68EE">
        <w:rPr>
          <w:rFonts w:ascii="Times New Roman" w:eastAsia="PalatinoLinotype-Roman" w:hAnsi="Times New Roman" w:cs="Times New Roman"/>
          <w:sz w:val="24"/>
          <w:szCs w:val="24"/>
          <w:lang w:val="en-US"/>
        </w:rPr>
        <w:t>cholecystectomy</w:t>
      </w:r>
      <w:proofErr w:type="spellEnd"/>
      <w:r w:rsidRPr="008F68EE">
        <w:rPr>
          <w:rFonts w:ascii="Times New Roman" w:eastAsia="PalatinoLinotype-Roman" w:hAnsi="Times New Roman" w:cs="Times New Roman"/>
          <w:sz w:val="24"/>
          <w:szCs w:val="24"/>
          <w:lang w:val="en-US"/>
        </w:rPr>
        <w:t>.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</w:rPr>
      </w:pPr>
      <w:r w:rsidRPr="007C01FA">
        <w:rPr>
          <w:rFonts w:ascii="Times New Roman" w:eastAsia="PalatinoLinotype-Roman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acute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cholecystopancreatitis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, surgical tactics, minimally invasive interventions,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cholecystectomy</w:t>
      </w:r>
      <w:proofErr w:type="spell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C01FA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Gogokhia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Kh.O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Kuzmin-Krutetskiy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M.I.,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Safoev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M.I.,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Doronina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A.A.,</w:t>
      </w:r>
      <w:r w:rsidR="008F68E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Nazarov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V.E.,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Kazantsev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A.N.,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Kutalia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Mukhiddinov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N.D.,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Rabiev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H.H.</w:t>
      </w:r>
    </w:p>
    <w:p w:rsidR="007C01FA" w:rsidRPr="008F68EE" w:rsidRDefault="007C01FA" w:rsidP="008F68E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LOW INVASIVE AND HYBRID TECHNOLOGIES</w:t>
      </w:r>
      <w:r w:rsidR="008F68EE" w:rsidRPr="008F68EE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FOR TREATMENT OF STRUCTURES OF THE DISTAL SECTIONS</w:t>
      </w:r>
      <w:r w:rsidR="008F68EE" w:rsidRPr="008F68EE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OF THE BILIARY DUCTS WITH A COMPLICATION</w:t>
      </w:r>
      <w:r w:rsidR="008F68EE" w:rsidRPr="008F68EE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OF CHRONIC PANCREATITIS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Aim.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Development of a treatment algorithm for patients with strictures of the distal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choledochus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 major duodenal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papilla and main pancreatic duct, which developed with various morphological types of chronic pancreatitis.</w:t>
      </w:r>
      <w:proofErr w:type="gram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Material and methods.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For 2014-2018 under our supervision there were 109 patients with chronic recurrent pancreatitis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complicated by obstructive jaundice, at the age of 39-61 years old. Subsequently, patients were repeatedly treated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for the recurrent nature of pancreatitis.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Retrograde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cholangiopancreatography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(RCPG),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papillosphincterotomy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(PST),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stenting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of the common bile duct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(CBD) and the main pancreatic duct (MPD) with plastic stents were performed in 29 patients. Of these, 11 had SST for ¾, and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18 for the entire length. All patients in this group had a stricture of the proximal GLP. After PST,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stenting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of the pancreatic duct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was first performed. Of these, 6 patients underwent balloon dilatation of the MPL stricture, after which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stenting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was performed.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Upon completion of this procedure,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stenting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of the bile duct was performed.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Conclusion.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Transluminal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endoscopic hybrid technologies make it possible to eliminate the stricture of the distal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bile ducts in patients with chronic pancreatitis, including by forming a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suprapapillary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biliary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-digestive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anastomosis</w:t>
      </w:r>
      <w:proofErr w:type="spellEnd"/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under the control of EUS. In case of compression of the lumen of the distal bile duct of the cystic head of the pancreas,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the method of choice is the formation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duodeno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- or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gastrocystostomy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under the control of EUS.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chronic pancreatitis, cysts of the pancreatic head, stricture of the distal common bile duct and greater duodenal</w:t>
      </w:r>
      <w:r w:rsidR="00030A36" w:rsidRPr="00030A36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 </w:t>
      </w:r>
      <w:r w:rsidRPr="00030A36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papilla, obstructive jaundice, therapeutic tactics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Ismoilova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M.Sh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.,</w:t>
      </w:r>
      <w:proofErr w:type="gram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Muradov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A.M.,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Muradov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.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.,</w:t>
      </w:r>
      <w:r w:rsidR="00030A36" w:rsidRPr="00030A36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Rakhimov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N.G.,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Rustamova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M.S.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lastRenderedPageBreak/>
        <w:t>CHARACTERISTICS OF SPECTRAL AND FRACTAL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INDICATORS R-R INTERVAL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IN PREGNANT WOMEN WITH PRE-ECLAMPSIA</w:t>
      </w:r>
    </w:p>
    <w:p w:rsidR="007C01FA" w:rsidRPr="00030A36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Aim.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study of the autonomic nervous system balance indicators according to the spectral and fractal analysis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of the R-R interval in pregnant women with moderate and severe preeclampsia.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Material and methods.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results of a clinical, laboratory and instrumental study of 150 women were studied,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which were conditionally divided into 3 groups: group 1 - 50 (50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,0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%) women with a physiological course of pregnancy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(PCP) (control); group 2 - 50 (50,0%) pregnant women with moderate preeclampsia (MPE), group 3 - 50 (50,0%) pregnant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women with severe preeclampsia (SPE) - in the third trimester. A spectral analysis of the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cardiointerval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variation in all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power ranges (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Sunch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, SLF,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SHF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) and calculation of the autonomic balance index (ABI), fractal assessment (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sRR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 b) and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assessment of the autonomic balance were carried out.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Pregnant women with SPE develop a pronounced autonomic imbalance,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sympathicotonia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 vasoconstriction,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and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baroreregulation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disorders, which reflect the characteristic direction of the autonomic shift towards sympathetic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activation, which is due to a decrease in the stability of extra- and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intracardiac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regulation of the heart rate, resulting in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endothelial dysfunction, microcirculation and hemodynamic disturbances.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 as well as deep disturbances of homeostasis,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metabolism with the development of a symptom complex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polysystemic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insufficiency.</w:t>
      </w:r>
      <w:proofErr w:type="gram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Conclusion.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method of spectral power analysis and fractal assessment of R-R cardio interval variation should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be used in pregnant women to assess the functional state of the ANS, determine the severity of preeclampsia, predict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an attack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eclampsia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 and monitor the effectiveness of therapeutic measures.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</w:rPr>
      </w:pPr>
      <w:r w:rsidRPr="007C01FA">
        <w:rPr>
          <w:rFonts w:ascii="Times New Roman" w:eastAsia="PalatinoLinotype-Bold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autonomic nervous system, pregnancy, preeclampsia, spectral analysis, fractal analysis, R-R interval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Mavlonova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S.N.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INFLUENCE OF VEGETATIVE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AND PSYCHO-EMOTIONAL STATUS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FOR THE COURSE OF PREGNANCY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Aim.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Study of the influence of vegetative and psycho-emotional statuses on the course of pregnancy.</w:t>
      </w:r>
      <w:proofErr w:type="gram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Material and methods.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200 pregnant women were examined, whose age ranged from 22 to 39 years.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</w:rPr>
        <w:t>All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</w:rPr>
        <w:t>subjects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</w:rPr>
        <w:t>were</w:t>
      </w:r>
      <w:proofErr w:type="spellEnd"/>
      <w:r w:rsidR="00030A36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divided into 3 groups. The main group (group 1) included 104 pregnant women with the presence of vegetative-vascular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disorders. The second group (comparison group) included 73 pregnant women without special pathologies. The control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group (group 3) consisted of 23 non-pregnant women without any particular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pathologies(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 variant of the norm).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In the course of the study, the prevalence of sympathetic manifestations in pregnant women was established.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presence of tachycardia was also detected, and in the presence of vegetative disorders in pregnant women,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bradycardia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was more often noted. This feature may be due to the fact that in pregnant women with vegetative-vascular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disorders, a noticeable effect of the parasympathetic system on the heart rate is noted. The results of the study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showed that the longer the gestation period, the lower the number of tachycardia cases.</w:t>
      </w:r>
    </w:p>
    <w:p w:rsidR="007C01FA" w:rsidRPr="00030A36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Conclusion.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When choosing tactics for managing pregnant women, it is necessary to consider the state of their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>psycho-vegetative status.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</w:rPr>
      </w:pPr>
      <w:r w:rsidRPr="007C01FA">
        <w:rPr>
          <w:rFonts w:ascii="Times New Roman" w:eastAsia="PalatinoLinotype-Bold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vegetative status, pregnant women, pregnancy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Makhmadov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F.I.,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Davlatov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M.V.,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Rakhimov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N.O.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CHOICE OF SURGICAL TACTICS IN VICTIMS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WITH CRANIO-ABDOMINAL INJURIES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Aim.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Improvement of the results of surgical treatment of patients with concomitant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cranio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-abdominal injuries (CAI).</w:t>
      </w:r>
      <w:proofErr w:type="gram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lastRenderedPageBreak/>
        <w:t>Material and methods.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We studied 75 patients (51 (68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,0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%) men, 24 (32,0%) women) with combined CAT for the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period 2012-2021.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Depending on the tactics of surgical treatment used, the victims were divided into two groups: group 1 - 35 (46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,7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%)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patients who received modern methods of diagnosis and treatment; group 2 - 40 (53,7%) victims, in the diagnosis and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treatment of which traditional methods were used.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In 9 (25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,7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%) cases, in the presence of small ruptures of the liver parenchyma along the rupture line, laparoscopic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coagulation was performed with U-shaped sutures. In 7 (20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,0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%) cases, bleeding from the liver parenchyma was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stopped using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Tacho-Komba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plates. In 2 (5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,7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%) cases, patients with grade II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splenic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rupture also underwent coagulation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using the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Liga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-Sur apparatus with additional insertion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Tacho-Comba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plates. In 6 (17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,1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%) cases in patients of the main group, with dominant severe TBI, in the presence of hematoma of the parietal peritoneum (n=4) and hematoma of the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retroperitoneal space (n=2), the NOM-tactic of managing the victims was used.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Conclusion.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The developed algorithm for the diagnosis and treatment of patients with concomitant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cranio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-abdominal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injuries allows to reliably optimize the examination time, staging and time of surgical treatment and reduce the number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of postoperative complications from 30% to 14,3% and mortality from 10,0% to 5,7% of cases.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</w:rPr>
      </w:pPr>
      <w:r w:rsidRPr="007C01FA">
        <w:rPr>
          <w:rFonts w:ascii="Times New Roman" w:eastAsia="PalatinoLinotype-Roman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combined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cranio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-abdominal injuries, tactics of surgical treatment, traumatic brain injury, video laparoscopy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Mirzovaliev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O.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.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CLINICAL AND FUNCTIONAL PREDICTORS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OF OSTEOARTHRITIS IN ASSOCIATION WITH OSTEOPOROSIS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Aim.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To study the clinical and functional predictors of osteoarthritis (OA) in association with osteoporosis (OP).</w:t>
      </w:r>
      <w:proofErr w:type="gram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Material and methods.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 prospective observation of 125 patients with OA was carried out for the period of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2018-2019. In order to study the clinical and functional features of the course of OA in patients with reduced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bone mineral density (BMD), a subgroup (n=106) of patients with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gonoarthrosis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(OA of the knee joints) II-III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X-ray stages according to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Kellgren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-Lawrence was identified. The structural and functional state of the bone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tissue was assessed by ultrasonic densitometry, the diagnosis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osteopenia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and OP was carried out according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to standard criteria.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Among patients with OA of the knee joints (n=106),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osteopenia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was found in 41 (36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,7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%) people, OP </w:t>
      </w:r>
      <w:r w:rsid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>–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in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32 (25,4%), i.e. in total 73 (62,2%). Functional parameters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articular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syndrome in patients with knee OA according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to VAS (visual analog scale) (mm), Womack (mm) and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Lenguence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 reflecting the level of pain in the joints, were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significantly higher in the group of patients with OP and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osteop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enia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 compared with patients with normal BMD.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Conclusion.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decrease in BMD in patients with OA negatively affects the functional parameters of the joint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syndrome and the indicators of C-reactive protein. In patients with OA, the female sex is an important non-modifying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risk factor for OP. The BMD of knee osteoarthritis in women in different age groups at the level of the lumbar spine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and femoral neck compared to the control group (without OA) was significantly low.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</w:rPr>
      </w:pPr>
      <w:r w:rsidRPr="007C01FA">
        <w:rPr>
          <w:rFonts w:ascii="Times New Roman" w:eastAsia="PalatinoLinotype-Bold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osteoarthritis (OA), osteoporosis (OP), bone mineral density (BMD)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Mirzoev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M.Sh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Khushvakhtov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D.D.,</w:t>
      </w:r>
      <w:r w:rsid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Kendjaev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E.O.,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Khushvakhtov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D.E.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MICROBIOLOGICAL EVALUATION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IN COMPREHENSIVE EXAMINATION OF PATIENTS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WITH PURULENT-INFLAMMATORY PROCESSES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OF THE ORAL CAVITY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Aim.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Microbiological study of purulent-inflammatory processes in the oral cavity and evaluation of the effectiveness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of the sorption antimicrobial dressing material "Vita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Vallis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" (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VitaVallis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) in the complex treatment of this pathology.</w:t>
      </w:r>
      <w:proofErr w:type="gram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lastRenderedPageBreak/>
        <w:t>Material and methods.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work is based on clinical and microbiological examination and treatment of 67 patients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(35 patients (52.2%) of the main group and 32 (47.8%) of the control group) aged 18 to 50 years and older with purulent-inflammatory processes in the oral cavity.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Microbiological examination was carried out by traditional methods, with strict observance of the rules of asepsis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and antisepsis. After opening the purulent focus with sterile cotton swabs, material was taken from the wound cavity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and the socket of the extracted teeth in order to identify microbial bodies that aggravate the pathological process and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develop adequate measures to eliminate them. The purulent cavity was treated with antiseptic solutions (3% hydrogen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peroxide,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Dekasan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)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wounds were drained with a sorption antimicrobial sterile bandage Vita-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Valis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(main group) and a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traditional rubber-glove drainage system (control group).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main causative agents of purulent-inflammatory processes in the oral cavity are opportunistic microorganisms: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Staphylococcus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aureus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and hemolytic, hemolytic and epidermal streptococci. </w:t>
      </w:r>
      <w:r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>Isolated microbes were found both in monoculture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(56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,7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%) and in associations (43,3%). Representatives of the genus Staphylococcus (85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,0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%) were most often isolated in the oral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cavity: S.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aureus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(41,7%); associations of S.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aureus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with S.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haemolyticus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(34.3%). </w:t>
      </w:r>
      <w:r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Streptococci (Str. </w:t>
      </w:r>
      <w:proofErr w:type="spellStart"/>
      <w:r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>haemolyticus</w:t>
      </w:r>
      <w:proofErr w:type="spellEnd"/>
      <w:r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>) in monoculture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accounted for 15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,0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%, combinations of S.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aureus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with Str.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haemolyticus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(9,0%). Staphylococci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aureus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prevailed not only among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staphylococci, but also among the general structure of isolated opportunistic microorganisms.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Conclusion.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The results obtained indicate a significant role of gram-positive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cocci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 especially staphylococci and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streptococci, in the development of purulent-inflammatory processes in the oral cavity and maxillofacial region. Sorption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antimicrobial dressing in inflammatory processes of the oral cavity allows you to quickly release the lymphatic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system from the decay products of cells and tissues, bacterial toxins and their waste products. In this regard, the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exudation of wounds and necrotic tissues stops faster, local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hemolymphodinamics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is normalized, and intoxication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of the body is reduced or completely prevented.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periostitis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 of the jaws,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alveolitis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, purulent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pericoronitis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, microorganism, staphylococcus, streptococcus,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VitaVallis</w:t>
      </w:r>
      <w:proofErr w:type="spellEnd"/>
    </w:p>
    <w:p w:rsidR="007C01FA" w:rsidRPr="007C01FA" w:rsidRDefault="007C01FA" w:rsidP="007C01FA">
      <w:pPr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</w:rPr>
      </w:pP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</w:rPr>
        <w:t>sorption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</w:rPr>
        <w:t>dressing</w:t>
      </w:r>
      <w:proofErr w:type="spell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Muminzoda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B.G.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TimesNewRomanPS-BoldMT" w:hAnsi="Times New Roman" w:cs="Times New Roman"/>
          <w:b/>
          <w:bCs/>
          <w:sz w:val="24"/>
          <w:szCs w:val="24"/>
          <w:lang w:val="en-US"/>
        </w:rPr>
        <w:t>FEATURES OF THE ORGANIZATION</w:t>
      </w:r>
      <w:r w:rsidR="00030A36" w:rsidRPr="00030A36">
        <w:rPr>
          <w:rFonts w:ascii="Times New Roman" w:eastAsia="TimesNewRomanPS-BoldMT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TimesNewRomanPS-BoldMT" w:hAnsi="Times New Roman" w:cs="Times New Roman"/>
          <w:b/>
          <w:bCs/>
          <w:sz w:val="24"/>
          <w:szCs w:val="24"/>
          <w:lang w:val="en-US"/>
        </w:rPr>
        <w:t>OF THE EMERGENCY MEDICAL SERVICE</w:t>
      </w:r>
      <w:r w:rsidR="00030A36" w:rsidRPr="00030A36">
        <w:rPr>
          <w:rFonts w:ascii="Times New Roman" w:eastAsia="TimesNewRomanPS-BoldMT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TimesNewRomanPS-BoldMT" w:hAnsi="Times New Roman" w:cs="Times New Roman"/>
          <w:b/>
          <w:bCs/>
          <w:sz w:val="24"/>
          <w:szCs w:val="24"/>
          <w:lang w:val="en-US"/>
        </w:rPr>
        <w:t>IN THE REPUBLIC OF TAJIKISTAN, IN THE CONDITIONS</w:t>
      </w:r>
      <w:r w:rsidR="00030A36" w:rsidRPr="00030A36">
        <w:rPr>
          <w:rFonts w:ascii="Times New Roman" w:eastAsia="TimesNewRomanPS-BoldMT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TimesNewRomanPS-BoldMT" w:hAnsi="Times New Roman" w:cs="Times New Roman"/>
          <w:b/>
          <w:bCs/>
          <w:sz w:val="24"/>
          <w:szCs w:val="24"/>
          <w:lang w:val="en-US"/>
        </w:rPr>
        <w:t>OF PHASED INTRODUCTION OF PARAMEDICAL BRIGADES</w:t>
      </w:r>
      <w:r w:rsidR="00030A36" w:rsidRPr="00030A36">
        <w:rPr>
          <w:rFonts w:ascii="Times New Roman" w:eastAsia="TimesNewRomanPS-BoldMT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30A36">
        <w:rPr>
          <w:rFonts w:ascii="Times New Roman" w:eastAsia="TimesNewRomanPS-BoldMT" w:hAnsi="Times New Roman" w:cs="Times New Roman"/>
          <w:b/>
          <w:bCs/>
          <w:sz w:val="24"/>
          <w:szCs w:val="24"/>
          <w:lang w:val="en-US"/>
        </w:rPr>
        <w:t>IN THE AMBULANCE SERVICE</w:t>
      </w:r>
    </w:p>
    <w:p w:rsidR="007C01FA" w:rsidRPr="00030A36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Aim.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Studying the experience of functioning of the ambulance service (AMS) in the developed countries of the world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and the prospects for the introduction of paramedical teams in the Emergency Medical Care (EMC) of the Republic of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>Tajikistan.</w:t>
      </w:r>
      <w:proofErr w:type="gram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Material and methods.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issues of functioning of various models of paramedical teams, the state of the material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and technical base, the personnel potential of the EMS service and the economic aspects of introducing paramedical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teams into the EMS of the Republic of Tajikistan were analyzed.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 survey of medical personnel showed that more than 50% of the calls made by doctors could be served by EMS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paramedics. There is a financial and personnel disproportion in the regions.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NSR service, as resource-intensive, needs to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be reformed, primarily in the economic aspect.</w:t>
      </w:r>
      <w:proofErr w:type="gramEnd"/>
    </w:p>
    <w:p w:rsidR="007C01FA" w:rsidRPr="00030A36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Conclusion.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introduction of paramedical teams into the ambulance service of the Republic of Tajikistan should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be carried out in stages, considering the established historical and traditional foundations for the development of the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>CEMC service.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</w:rPr>
      </w:pPr>
      <w:r w:rsidRPr="007C01FA">
        <w:rPr>
          <w:rFonts w:ascii="Times New Roman" w:eastAsia="PalatinoLinotype-Bold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ambulance service, paramedics, paramedical brigades</w:t>
      </w:r>
    </w:p>
    <w:p w:rsidR="007C01FA" w:rsidRPr="00030A36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Muradov</w:t>
      </w:r>
      <w:proofErr w:type="spellEnd"/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Komilov</w:t>
      </w:r>
      <w:proofErr w:type="spellEnd"/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Fayzulloev</w:t>
      </w:r>
      <w:proofErr w:type="spellEnd"/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proofErr w:type="gram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Kh</w:t>
      </w:r>
      <w:proofErr w:type="spellEnd"/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.,</w:t>
      </w:r>
      <w:proofErr w:type="gramEnd"/>
      <w:r w:rsid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Murodov</w:t>
      </w:r>
      <w:proofErr w:type="spellEnd"/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Shumilina</w:t>
      </w:r>
      <w:proofErr w:type="spellEnd"/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V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CHARACTERISTICS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OF THE FUNCTIONAL INDICATORS OF THE KIDNEYS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IN PATIENTS WITH MYOCARDIAL INFARCTION DEPENDING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ON THE STAGE OF ACUTE KIDNEY DAMAGE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lastRenderedPageBreak/>
        <w:t>Aim.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study of functional indicators of the kidneys in patients with myocardial infarction, depending on the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stage of acute renal injury.</w:t>
      </w:r>
      <w:proofErr w:type="gram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Material and methods.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100 patients with myocardial infarction (MI) with signs of acute kidney injury (AKI) and 30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practically healthy men and women (control group) were studied.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We studied the qualitative and quantitative indicators of urine - clinical and biochemical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analyzes,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samples according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to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Zimnitsky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Reberg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Glomerular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filtration rate (GFR), urine osmotic concentration (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Uosm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), urine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osmolar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pressure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(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Uosm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), concentration coefficient (CC), and osmotic clearance (OC) were calculated.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Basically, AKI develops in the first days of hospitalization: 1-4 days - up to 50%, 1-7 days - up to 70-90%. AKI had a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prerenal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cause: in 35 (35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,0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%) patients with moderate severity, renal dysfunction was associated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with stage 1 (Risk) risk; in 34 (34,0%) with a serious condition, mainly signs of stage 2 (Injury) kidney damage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were detected; 31 (31,0%) patients with an extremely severe condition had stage 3 (Failure) renal failure. Important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markers of AKI in patients with MI are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creatinine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and per-minute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diuresis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 which directly depend on the degree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of kidney dysfunction.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Conclusion.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In acute coronary pathology, in most cases, renal dysfunction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prerenal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etiology develops, associated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with acute circulatory disorders and regional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hypoperfusion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of organs, in particular the kidneys. This requires the objectification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of kidney damage, additional structural-functional and Doppler studies to specify the tactics of managing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these patients and predicting the development of type 2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cardiorenal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syndrome.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myocardial infarction, acute kidney injury,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glomerular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 filtration rate, dieresis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Nurmatova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Z.I.,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Yusupova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M.R.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SPECIES SPECTRUM OF VAGINAL </w:t>
      </w:r>
      <w:proofErr w:type="gramStart"/>
      <w:r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CANDIDIOSIS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 </w:t>
      </w:r>
      <w:r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IN</w:t>
      </w:r>
      <w:proofErr w:type="gramEnd"/>
      <w:r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PREGNANT WOMEN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Aim.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Study of the species composition of pathogens of the genus Candida in pregnant women and determination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of the spectrum of sensitivity of pathogens to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antimycotic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drugs.</w:t>
      </w:r>
      <w:proofErr w:type="gram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Material and methods.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For the period 2020-2021 examined 152 patients aged 19 to 42 years with genital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candidiasis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.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The examination included general clinical methods,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bacterioscopic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examination of vaginal discharge and its culture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on flora.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Microscopy of vaginal smears with mixed bacterial-fungal infection revealed excessive growth of Candida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fungi and an increase in the number and frequency of cases of growth of aerobic and anaerobic opportunistic flora.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Microscopy revealed the predominance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coccal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forms over bacillary ones. Vaginal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candidiasis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was diagnosed in 92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,8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%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of pregnant women.</w:t>
      </w:r>
    </w:p>
    <w:p w:rsidR="007C01FA" w:rsidRPr="00030A36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Conclusion.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Considering that pregnancy is the main predisposing factor for the development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vulvovaginal</w:t>
      </w:r>
      <w:proofErr w:type="spellEnd"/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candidiasis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, its treatment in this condition is of particular concern. </w:t>
      </w:r>
      <w:r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main requirement in this situation is the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>safety of the treatment.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</w:rPr>
      </w:pPr>
      <w:r w:rsidRPr="007C01FA">
        <w:rPr>
          <w:rFonts w:ascii="Times New Roman" w:eastAsia="PalatinoLinotype-Bold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vaginal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candidiasis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vulvovaginitis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, causative agent,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antimycotic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 agents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Rakhmatullaev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R.,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Rakhmatullaeva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F.R.,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Rakhmatullaev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A.R.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DIAGNOSTICS OF PELVIC VENOUS COMPLETION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WITH THE USE OF TRANSABDOMINAL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AND TRANSVAGINAL SENSORS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Aim.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To evaluate the effectiveness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transabdominal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transvaginal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duplex scanning for detecting varicose veins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of the small pelvis in women.</w:t>
      </w:r>
      <w:proofErr w:type="gram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Material and methods.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We have studied the experience of managing 75 patients with clinical suspicion of venous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congestion of the veins of the small pelvis for the period from 2019 to 2021.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 clinical examination was performed, which included a vaginal examination, ultrasound of the abdominal cavity,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retroperitoneal space and small pelvis, ultrasonic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angioscanning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of the veins of the small pelvis using abdominal and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transvaginal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sensors, and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phlebography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of the small pelvis.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During clinical examination, atypically located varicose veins were determined in 26 patients in the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suprapubic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gluteal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perineal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regions, in 18 patients – on the large and small labia. During vaginal examination, pain was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determined on palpation of the internal surfaces of the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lastRenderedPageBreak/>
        <w:t xml:space="preserve">small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pelvis,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in 7 cases a conglomerate of varicose veins was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determined on the anterior wall of the vagina.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Bilateral localization of the pathological process in the ovarian veins was most often noted, in 52 patients (69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,7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%), left-sided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localization was noted in 23 cases (30,3%), right-sided localization of varicose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gonadal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veins was not noted in the study.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Conclusion.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The use of ultrasound research methods is a worthy alternative to contrast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phlebography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 and the combined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use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transabdominal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transvaginal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transducers can reduce the likelihood of a diagnostic error to a minimum.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</w:rPr>
      </w:pPr>
      <w:r w:rsidRPr="007C01FA">
        <w:rPr>
          <w:rFonts w:ascii="Times New Roman" w:eastAsia="PalatinoLinotype-Bold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varicose veins of the small pelvis, venous plethora, duplex scanning,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phlebography</w:t>
      </w:r>
      <w:proofErr w:type="spell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gram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1,2Fayzulloev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Kh.T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.</w:t>
      </w:r>
      <w:proofErr w:type="gram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STATE OF HYPOCOAGULATING LUNG FUNCTION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AND HEMOCOAGULATION IN DIFFERENT VASCULAR BASINS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IN PATIENTS WITH COMBINED MYOCARDIAL INFARCTION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</w:rPr>
        <w:t>AND ISCHEMIC STROKE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Aim.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To study the parameters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hemostasis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in various basins of the vascular bed (venous, mixed venous and arterial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blood), as well as the functional state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hypocoagulant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lung function (HLF) in patients with combined myocardial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infarction (MI) and ischemic stroke (IS) in the acute period.</w:t>
      </w:r>
    </w:p>
    <w:p w:rsidR="007C01FA" w:rsidRPr="00030A36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Material and methods.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study included 35 patients with combined MI and IS, as well as 30 healthy donors (men– 62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,5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%, women – 37,4%, mean age 55,4±1,4 years).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The system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hemostasis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was studied in terms of the main parameters in the pools of venous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cubital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blood (VCB),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mixed venous blood (MVB),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outflowing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arterial blood (OAB).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In moderate course of MI and IS, the state of HLF is compensated, it actively influences coagulation processes,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reducing the coagulation potential of blood flowing to the lungs. At the same time, the functional ability of the lungs is reduced,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compared with the data of healthy people, tk. there is a depletion of anticoagulant and depression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fibrinolytic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links in the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pools of venous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cubital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(VCB) and mixed venous (MVB) blood. As the severity of the patient's condition progresses, more severe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processes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hypercoagulability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occur in the pools of the VCB and MVB, respectively, and violations of the HLF up to the stages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subcompensation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decompensation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. There is a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coagulopathy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in the consumption of coagulation factors, an increase in the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concentration of D-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dimers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in the arterial blood flowing from the lungs, and local DIC in the lungs. With HLF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decompensation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depletion of the anticoagulant and depression of the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fibrinolytic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components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hemostasis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occurs with clinical manifestations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of acute pulmonary injury.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Conclusion.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Diagnosis of the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hemostasis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system in patients with MI and IS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is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recommended not only by venous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blood, but also by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veno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-arterial difference to identify the functional state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hypocoagulant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lung function, objectify the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condition and predict the outcomes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comorbidity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.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</w:rPr>
      </w:pPr>
      <w:r w:rsidRPr="007C01FA">
        <w:rPr>
          <w:rFonts w:ascii="Times New Roman" w:eastAsia="PalatinoLinotype-Bold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myocardial infarction, ischemic stroke,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hypocoagulable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 lung function,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hemostasis</w:t>
      </w:r>
      <w:proofErr w:type="spellEnd"/>
    </w:p>
    <w:p w:rsidR="007C01FA" w:rsidRPr="00030A36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Shafozoda</w:t>
      </w:r>
      <w:proofErr w:type="spellEnd"/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B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Karimov</w:t>
      </w:r>
      <w:proofErr w:type="spellEnd"/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.,</w:t>
      </w:r>
      <w:r w:rsid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Sharipov</w:t>
      </w:r>
      <w:proofErr w:type="spellEnd"/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proofErr w:type="gram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Kh</w:t>
      </w:r>
      <w:proofErr w:type="spellEnd"/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.,</w:t>
      </w:r>
      <w:proofErr w:type="gramEnd"/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Ashurov</w:t>
      </w:r>
      <w:proofErr w:type="spellEnd"/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</w:t>
      </w:r>
      <w:r w:rsidRPr="00030A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 USING OF HYGIENIC INDEX UNDER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PARODONTAL INFLAMMATION DISEASES INDUCED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FIXED ORTHOPEDIC PROSTHETIC DEVICE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Aim.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Estimation of the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parodontal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condition by hygienic dentistry index in the system of fixed orthopedic design.</w:t>
      </w:r>
      <w:proofErr w:type="gramEnd"/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Material and methods.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Examined 45 patients at the age from 20 to 50 years with chronic inflammatory process of prosthetic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genesis in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parodontal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tissue.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On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result of clinical dentistry examinations in depending of denominated sign inflammatory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process in marginal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parodont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of supporting teeth they are divided into subgroups: 1st subgroup consisted of 24 persons with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small extent (absence of 1-3 teeth) of orthopedic design, 2nd - from 15 patient with average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lastRenderedPageBreak/>
        <w:t>extent (absence of 4-6 teeth); third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subgroup was presented 6 patient with prosthetic device of big extent (absence more than 6 teeth).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The most expressing change the inflammatory nature in marginal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parodont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observed beside patient with average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and greater defects of teeth row. At presence of fixed orthopedic design importance clinical dentistry index had a maximum value.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Conclusion.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Using of hygienic index on stage of the dynamic observation has allowed revealing the inflammatory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changes in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gum’s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mucous in person with big extent of occlusion defects.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</w:rPr>
      </w:pPr>
      <w:r w:rsidRPr="007C01FA">
        <w:rPr>
          <w:rFonts w:ascii="Times New Roman" w:eastAsia="PalatinoLinotype-Bold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fixed prosthetic device, occlusion defects, marginal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parodont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, supporting teeth, gingivitis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Yusupov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Z.Y.,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Ashurov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G.G.,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>Khamidov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D.B.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PREVALENCE DISEASES OF THE MUCOUS OF ORAL CAVITY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BETWEEN WORKERS OF THE ALUMINUM PRODUCTION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Aim.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Study the frequency of the spreading the diseases of the mucous of oral cavity, being input winch to infections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and the first zone on influence factors of aluminum production.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Material and methods.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Beside 494 workman of the aluminum plant studied mycology status. Main group formed the person,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constantly contacting with bad factors of aluminum production (311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person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). </w:t>
      </w:r>
      <w:r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>Examined of checking group (183 person.) did not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contact with bad factors of aluminum production. When revealing the diseases of the mucous of oral cavity 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were use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following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mycology parameters: the morphological elements of the defeat mucous of oral cavity, their forms, duration of the diseases,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sex, age workman, length of service of the work on aluminum enterprise, presence of the somatic diseases amongst workman.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Will installed high prevalence diseases of the mucous of oral cavity amongst persons, occupied in given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branches of industry. Analysis result studies have allowed referring candied of oral cavity and diseases of the lips to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categories of the professional defeats, in accordance with nature production.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Conclusion.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Particularity the pathology of oral cavity mucous beside our examined were chronic, slowly progressing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current of the diseases, absence brightly expressed clinical symptom </w:t>
      </w:r>
      <w:r w:rsidRPr="007C01FA">
        <w:rPr>
          <w:rFonts w:ascii="Times New Roman" w:eastAsia="PalatinoLinotype-Roman" w:hAnsi="Times New Roman" w:cs="Times New Roman"/>
          <w:sz w:val="24"/>
          <w:szCs w:val="24"/>
        </w:rPr>
        <w:t>симптомов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and increasing degree their denominate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on measure of the increase to length of the contact with bad factor’s production.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</w:rPr>
      </w:pPr>
      <w:r w:rsidRPr="007C01FA">
        <w:rPr>
          <w:rFonts w:ascii="Times New Roman" w:eastAsia="PalatinoLinotype-Bold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mucous of oral cavity, aluminum production, bad factors, length service of the work, somatic pathology</w:t>
      </w:r>
    </w:p>
    <w:p w:rsidR="007C01FA" w:rsidRPr="007C01FA" w:rsidRDefault="007C01FA" w:rsidP="00030A36">
      <w:pPr>
        <w:ind w:firstLine="284"/>
        <w:jc w:val="center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REVIEVS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Saidova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M.I.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THE ROLE OF TROMBOPHILIA AND FOLATE DEFICIENCY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IN THE GENESIS OF PREGNANCY LOSSES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article presents an overview of modern views on the problem of pregnancy loss against the background of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existing genetic or acquired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thrombophilia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folate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metabolism disorders. Many researchers have identified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thrombophilia</w:t>
      </w:r>
      <w:proofErr w:type="spellEnd"/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as one of the leading causes of adverse pregnancy outcomes - miscarriage, preeclampsia, fetal growth restriction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syndrome, antenatal fetal death, etc. There is also evidence that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folate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deficiency and genetic polymorphism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folate</w:t>
      </w:r>
      <w:proofErr w:type="spellEnd"/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cycle enzyme genes leads to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hyperhomocysteinemia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, which in turn also contributes to the development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hypercoagulation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.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Modern views on the problem show that each of the presented pathological processes, and more often their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combination, lead to pregnancy loss at different gestation periods.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</w:rPr>
      </w:pPr>
      <w:r w:rsidRPr="007C01FA">
        <w:rPr>
          <w:rFonts w:ascii="Times New Roman" w:eastAsia="PalatinoLinotype-Roman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pregnancy loss,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thrombophilia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folate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 metabolism disorders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Shodieva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M.O.,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Muhamadieva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K.M.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lastRenderedPageBreak/>
        <w:t>A MODERN VIEW ON THE ETIOPATHOGENESIS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AND CLASSIFICATION OF ATROPHIC SKIN SCARS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article is devoted to the actual problem of dermatology - atrophic skin scars. The most common etiological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factors and links in the pathogenesis of atrophic scars of skin deformities are highlighted. The review examines various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theories of the development of atrophic scars, localization, prevalence, including prevalence depending on the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etiological factor and the patient's age. In addition, data on the correlation of pathology depending on the gender of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the patient and the skin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phototype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are presented, as well as the current approaches to the clinical classification and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assessment of the severity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cicatricial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deformities according to valid international scales. Despite the known data,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the pathology is still relevant, especially in young people, which requires further studies of this pathology.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Italic" w:hAnsi="Times New Roman" w:cs="Times New Roman"/>
          <w:i/>
          <w:iCs/>
          <w:sz w:val="24"/>
          <w:szCs w:val="24"/>
        </w:rPr>
      </w:pPr>
      <w:r w:rsidRPr="007C01FA">
        <w:rPr>
          <w:rFonts w:ascii="Times New Roman" w:eastAsia="PalatinoLinotype-Roman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scar, atrophic scar,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phototype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, localization</w:t>
      </w:r>
    </w:p>
    <w:p w:rsidR="007C01FA" w:rsidRPr="007C01FA" w:rsidRDefault="007C01FA" w:rsidP="007C01FA">
      <w:pPr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CASE FROM PRACTICE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Rasulov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S.R.,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Djamshedov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Dzh.Sh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.,</w:t>
      </w:r>
      <w:proofErr w:type="gram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Azatulloev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Y.E.,</w:t>
      </w:r>
      <w:r w:rsidR="00030A36" w:rsidRPr="00030A36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Dilshodov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S.A.,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Tuychiev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N.T.</w:t>
      </w:r>
    </w:p>
    <w:p w:rsidR="007C01FA" w:rsidRPr="00030A36" w:rsidRDefault="007C01FA" w:rsidP="007C01FA">
      <w:pPr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THYMOMAS OF THE MEDIASTINUM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Aim.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Analysis of the incidence and results of treatment with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mediastinal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thymoma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in patients who applied to the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thoracoabdominal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department of the State Institution "Republican Cancer Research Center" of the Ministry of Health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and Social Protection of the Republic of Tajikistan.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Material and methods.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Morbidity rates and results of surgical treatment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mediastinal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thymoma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in 8 patients who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received treatment in the conditions of the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thoracoabdominal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department of the State Institution "Republican Cancer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Research Center" of the Ministry of Health and Social Protection of the Republic of Tajikistan were studied. Age and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sex indicators of morbidity, as well as the prevalence of the process, were assessed.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Results.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It was found that patients with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thymoma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accounted for 24% of all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mediastinal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tumors. The age of the patients</w:t>
      </w:r>
      <w:r w:rsidR="00030A36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ranged from 40 to 70 years. The ratio of women and men is 2:1. Only in 2 (25%) cases,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transthoracic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puncture of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the tumor revealed malignant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thymoma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 in 6 (85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,7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%) patients, the nature of the tumor was established after surgical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treatment. According to the degree of distribution, patients had stage II - 2 (25%), stage III - 2 (25%) and stage IV - 4 (50%) patients. In 3 (37</w:t>
      </w:r>
      <w:proofErr w:type="gram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,5</w:t>
      </w:r>
      <w:proofErr w:type="gram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%) people,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thymoma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was accompanied by myasthenia gravis. 6 (87,7%) patients underwent surgical</w:t>
      </w:r>
      <w:r w:rsidR="00030A36">
        <w:rPr>
          <w:rFonts w:ascii="Times New Roman" w:eastAsia="PalatinoLinotype-Roman" w:hAnsi="Times New Roman" w:cs="Times New Roman"/>
          <w:sz w:val="24"/>
          <w:szCs w:val="24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treatment. Independent chemotherapy was received by 2 (25%) patients not subject to radical surgery.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proofErr w:type="gramStart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Conclusion.</w:t>
      </w:r>
      <w:proofErr w:type="gramEnd"/>
      <w:r w:rsidRPr="007C01FA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Mediastinal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thymomas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accounted for 24% of other tumors. The tactics of treatment is chosen based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on the degree of spread of the tumor process and the relationship with neighboring anatomical structures and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organs.Surgical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treatment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mediastinal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thymoma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is the leading method and was use</w:t>
      </w:r>
    </w:p>
    <w:p w:rsidR="00030A36" w:rsidRPr="00030A36" w:rsidRDefault="00030A36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Rogov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A.V., </w:t>
      </w:r>
      <w:proofErr w:type="spellStart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Barabash</w:t>
      </w:r>
      <w:proofErr w:type="spellEnd"/>
      <w:r w:rsidRPr="007C01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R. Z.</w:t>
      </w:r>
    </w:p>
    <w:p w:rsidR="007C01FA" w:rsidRPr="00030A36" w:rsidRDefault="007C01FA" w:rsidP="00030A3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</w:pPr>
      <w:r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REHABILITATION OF A PATIENT</w:t>
      </w:r>
      <w:r w:rsidR="00030A36"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30A36">
        <w:rPr>
          <w:rFonts w:ascii="Times New Roman" w:eastAsia="PalatinoLinotype-Bold" w:hAnsi="Times New Roman" w:cs="Times New Roman"/>
          <w:b/>
          <w:bCs/>
          <w:sz w:val="24"/>
          <w:szCs w:val="24"/>
          <w:lang w:val="en-US"/>
        </w:rPr>
        <w:t>WITH WILLEBRAND'S DISEASE</w:t>
      </w:r>
    </w:p>
    <w:p w:rsidR="007C01FA" w:rsidRPr="007C01FA" w:rsidRDefault="007C01FA" w:rsidP="007C01F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PalatinoLinotype-Roman" w:hAnsi="Times New Roman" w:cs="Times New Roman"/>
          <w:sz w:val="24"/>
          <w:szCs w:val="24"/>
          <w:lang w:val="en-US"/>
        </w:rPr>
      </w:pP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Rehabilitation of </w:t>
      </w:r>
      <w:proofErr w:type="spellStart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Willebrand</w:t>
      </w:r>
      <w:proofErr w:type="spellEnd"/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patients is complex and requires lifelong therapy. The article contains a comprehensive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treatment of a patient with hereditary pathology. The role of non-pharmacological correction in reducing the limits of</w:t>
      </w:r>
      <w:r w:rsidR="00030A36" w:rsidRPr="00030A36">
        <w:rPr>
          <w:rFonts w:ascii="Times New Roman" w:eastAsia="PalatinoLinotype-Roman" w:hAnsi="Times New Roman" w:cs="Times New Roman"/>
          <w:sz w:val="24"/>
          <w:szCs w:val="24"/>
          <w:lang w:val="en-US"/>
        </w:rPr>
        <w:t xml:space="preserve"> </w:t>
      </w:r>
      <w:r w:rsidRPr="007C01FA">
        <w:rPr>
          <w:rFonts w:ascii="Times New Roman" w:eastAsia="PalatinoLinotype-Roman" w:hAnsi="Times New Roman" w:cs="Times New Roman"/>
          <w:sz w:val="24"/>
          <w:szCs w:val="24"/>
          <w:lang w:val="en-US"/>
        </w:rPr>
        <w:t>a child's activity is shown.</w:t>
      </w:r>
    </w:p>
    <w:p w:rsidR="007C01FA" w:rsidRPr="007C01FA" w:rsidRDefault="007C01FA" w:rsidP="007C01FA">
      <w:pPr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C01FA">
        <w:rPr>
          <w:rFonts w:ascii="Times New Roman" w:eastAsia="PalatinoLinotype-Roman" w:hAnsi="Times New Roman" w:cs="Times New Roman"/>
          <w:b/>
          <w:bCs/>
          <w:i/>
          <w:iCs/>
          <w:sz w:val="24"/>
          <w:szCs w:val="24"/>
          <w:lang w:val="en-US"/>
        </w:rPr>
        <w:t xml:space="preserve">Key words: </w:t>
      </w:r>
      <w:proofErr w:type="spellStart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>Willebrand's</w:t>
      </w:r>
      <w:proofErr w:type="spellEnd"/>
      <w:r w:rsidRPr="007C01FA">
        <w:rPr>
          <w:rFonts w:ascii="Times New Roman" w:eastAsia="PalatinoLinotype-Italic" w:hAnsi="Times New Roman" w:cs="Times New Roman"/>
          <w:i/>
          <w:iCs/>
          <w:sz w:val="24"/>
          <w:szCs w:val="24"/>
          <w:lang w:val="en-US"/>
        </w:rPr>
        <w:t xml:space="preserve"> disease, rehabilitation, reduction of life restrict ions</w:t>
      </w:r>
    </w:p>
    <w:sectPr w:rsidR="007C01FA" w:rsidRPr="007C0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Linotype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Linotype-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PalatinoLinotype-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01FA"/>
    <w:rsid w:val="00030A36"/>
    <w:rsid w:val="007C01FA"/>
    <w:rsid w:val="008F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4362</Words>
  <Characters>24866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2022-05-30T08:53:00Z</dcterms:created>
  <dcterms:modified xsi:type="dcterms:W3CDTF">2022-05-30T09:47:00Z</dcterms:modified>
</cp:coreProperties>
</file>