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B1" w:rsidRDefault="00A70BB1" w:rsidP="00A70BB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2020-4</w:t>
      </w:r>
    </w:p>
    <w:p w:rsidR="00A70BB1" w:rsidRDefault="00A70BB1" w:rsidP="00A70BB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0BB1">
        <w:rPr>
          <w:rFonts w:ascii="Times New Roman" w:hAnsi="Times New Roman" w:cs="Times New Roman"/>
          <w:b/>
          <w:color w:val="000000"/>
          <w:sz w:val="28"/>
          <w:szCs w:val="28"/>
        </w:rPr>
        <w:t>ТЕОРИЯ И ПРАКТИКА МЕДИЦИНЫ</w:t>
      </w:r>
    </w:p>
    <w:p w:rsidR="00A70BB1" w:rsidRDefault="00A70BB1" w:rsidP="00A70BB1">
      <w:pPr>
        <w:pStyle w:val="Pa21"/>
        <w:rPr>
          <w:rFonts w:cs="Palatino Linotype"/>
          <w:color w:val="000000"/>
          <w:sz w:val="22"/>
          <w:szCs w:val="22"/>
        </w:rPr>
      </w:pP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Кабиров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К.М.,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Абдуев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И.Г.,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Гуломова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М.О.,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Гуламадшоева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М.Н., Каримов А.Дж. </w:t>
      </w:r>
    </w:p>
    <w:p w:rsidR="00A70BB1" w:rsidRDefault="00A70BB1" w:rsidP="00A70BB1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ДИАГНОСТИКА, ЛЕЧЕНИЕ И ПРОФИЛАКТИКА ДЕФИЦИТА ВИТАМИНА Д В ПРАКТИКЕ СЕМЕЙНОГО ВРАЧА </w:t>
      </w:r>
    </w:p>
    <w:p w:rsidR="00A70BB1" w:rsidRDefault="00A70BB1" w:rsidP="00A70BB1">
      <w:pPr>
        <w:jc w:val="both"/>
        <w:rPr>
          <w:rFonts w:cs="Palatino Linotype"/>
          <w:color w:val="000000"/>
        </w:rPr>
      </w:pPr>
      <w:r>
        <w:rPr>
          <w:rFonts w:cs="Palatino Linotype"/>
          <w:color w:val="000000"/>
        </w:rPr>
        <w:t xml:space="preserve">Кафедра семейной медицины ГОУ </w:t>
      </w:r>
      <w:proofErr w:type="spellStart"/>
      <w:r>
        <w:rPr>
          <w:rFonts w:cs="Palatino Linotype"/>
          <w:color w:val="000000"/>
        </w:rPr>
        <w:t>ИПОсСЗ</w:t>
      </w:r>
      <w:proofErr w:type="spellEnd"/>
      <w:r>
        <w:rPr>
          <w:rFonts w:cs="Palatino Linotype"/>
          <w:color w:val="000000"/>
        </w:rPr>
        <w:t xml:space="preserve"> РТ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Цель исследования. </w:t>
      </w:r>
      <w:r>
        <w:rPr>
          <w:rStyle w:val="A7"/>
          <w:i w:val="0"/>
          <w:iCs w:val="0"/>
        </w:rPr>
        <w:t>Профилактика дефицита витамина</w:t>
      </w:r>
      <w:proofErr w:type="gramStart"/>
      <w:r>
        <w:rPr>
          <w:rStyle w:val="A7"/>
          <w:i w:val="0"/>
          <w:iCs w:val="0"/>
        </w:rPr>
        <w:t xml:space="preserve"> Д</w:t>
      </w:r>
      <w:proofErr w:type="gramEnd"/>
      <w:r>
        <w:rPr>
          <w:rStyle w:val="A7"/>
          <w:i w:val="0"/>
          <w:iCs w:val="0"/>
        </w:rPr>
        <w:t xml:space="preserve"> среди пациентов с частыми вирусными инфек</w:t>
      </w:r>
      <w:r>
        <w:rPr>
          <w:rStyle w:val="A7"/>
          <w:i w:val="0"/>
          <w:iCs w:val="0"/>
        </w:rPr>
        <w:softHyphen/>
        <w:t xml:space="preserve">циями дыхательных путей. </w:t>
      </w:r>
    </w:p>
    <w:p w:rsidR="00A70BB1" w:rsidRDefault="00A70BB1" w:rsidP="00A70BB1">
      <w:pPr>
        <w:pStyle w:val="Pa2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Материал и методы. </w:t>
      </w:r>
      <w:r>
        <w:rPr>
          <w:rStyle w:val="A7"/>
          <w:i w:val="0"/>
          <w:iCs w:val="0"/>
        </w:rPr>
        <w:t>Было обследовано 36 пациентов с частыми вирусными инфекциями дыхательных путей. Для коррекции недостаточности витамина Д</w:t>
      </w:r>
      <w:r>
        <w:rPr>
          <w:rStyle w:val="A8"/>
          <w:i w:val="0"/>
          <w:iCs w:val="0"/>
          <w:sz w:val="9"/>
          <w:szCs w:val="9"/>
        </w:rPr>
        <w:t xml:space="preserve">3 </w:t>
      </w:r>
      <w:r>
        <w:rPr>
          <w:rStyle w:val="A7"/>
          <w:i w:val="0"/>
          <w:iCs w:val="0"/>
        </w:rPr>
        <w:t xml:space="preserve">применялись препараты </w:t>
      </w:r>
      <w:proofErr w:type="spellStart"/>
      <w:r>
        <w:rPr>
          <w:rStyle w:val="A7"/>
        </w:rPr>
        <w:t>Д-Калвит</w:t>
      </w:r>
      <w:proofErr w:type="spellEnd"/>
      <w:r>
        <w:rPr>
          <w:rStyle w:val="A7"/>
        </w:rPr>
        <w:t xml:space="preserve"> </w:t>
      </w:r>
      <w:r>
        <w:rPr>
          <w:rStyle w:val="A7"/>
          <w:i w:val="0"/>
          <w:iCs w:val="0"/>
        </w:rPr>
        <w:t xml:space="preserve">и </w:t>
      </w:r>
      <w:proofErr w:type="spellStart"/>
      <w:r>
        <w:rPr>
          <w:rStyle w:val="A7"/>
          <w:i w:val="0"/>
          <w:iCs w:val="0"/>
        </w:rPr>
        <w:t>Деньвит</w:t>
      </w:r>
      <w:proofErr w:type="spellEnd"/>
      <w:r>
        <w:rPr>
          <w:rStyle w:val="A7"/>
          <w:i w:val="0"/>
          <w:iCs w:val="0"/>
        </w:rPr>
        <w:t xml:space="preserve"> Д</w:t>
      </w:r>
      <w:r>
        <w:rPr>
          <w:rStyle w:val="A8"/>
          <w:i w:val="0"/>
          <w:iCs w:val="0"/>
          <w:sz w:val="9"/>
          <w:szCs w:val="9"/>
        </w:rPr>
        <w:t xml:space="preserve">3 </w:t>
      </w:r>
      <w:proofErr w:type="spellStart"/>
      <w:r>
        <w:rPr>
          <w:rStyle w:val="A7"/>
          <w:i w:val="0"/>
          <w:iCs w:val="0"/>
        </w:rPr>
        <w:t>иммун</w:t>
      </w:r>
      <w:proofErr w:type="gramStart"/>
      <w:r>
        <w:rPr>
          <w:rStyle w:val="A7"/>
          <w:i w:val="0"/>
          <w:iCs w:val="0"/>
        </w:rPr>
        <w:t>о</w:t>
      </w:r>
      <w:proofErr w:type="spellEnd"/>
      <w:r>
        <w:rPr>
          <w:rStyle w:val="A7"/>
          <w:i w:val="0"/>
          <w:iCs w:val="0"/>
        </w:rPr>
        <w:t>-</w:t>
      </w:r>
      <w:proofErr w:type="gramEnd"/>
      <w:r>
        <w:rPr>
          <w:rStyle w:val="A7"/>
          <w:i w:val="0"/>
          <w:iCs w:val="0"/>
        </w:rPr>
        <w:t xml:space="preserve"> курсовым приемом. </w:t>
      </w:r>
    </w:p>
    <w:p w:rsidR="00A70BB1" w:rsidRDefault="00A70BB1" w:rsidP="00A70BB1">
      <w:pPr>
        <w:pStyle w:val="Pa2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Результаты. </w:t>
      </w:r>
      <w:r>
        <w:rPr>
          <w:rStyle w:val="A7"/>
          <w:i w:val="0"/>
          <w:iCs w:val="0"/>
        </w:rPr>
        <w:t>Среди пациентов с частыми вирусными инфекциями дыхательных путей прослеживалась раз</w:t>
      </w:r>
      <w:r>
        <w:rPr>
          <w:rStyle w:val="A7"/>
          <w:i w:val="0"/>
          <w:iCs w:val="0"/>
        </w:rPr>
        <w:softHyphen/>
        <w:t>ной степени недостаточность витамина</w:t>
      </w:r>
      <w:proofErr w:type="gramStart"/>
      <w:r>
        <w:rPr>
          <w:rStyle w:val="A7"/>
          <w:i w:val="0"/>
          <w:iCs w:val="0"/>
        </w:rPr>
        <w:t xml:space="preserve"> Д</w:t>
      </w:r>
      <w:proofErr w:type="gramEnd"/>
      <w:r>
        <w:rPr>
          <w:rStyle w:val="A7"/>
          <w:i w:val="0"/>
          <w:iCs w:val="0"/>
        </w:rPr>
        <w:t xml:space="preserve"> в крови. При коррекции его содержания выздоровление наступало в кратчайшие сроки, по сравнению с терапией, не содержащей в составе витамин Д.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Заключение. </w:t>
      </w:r>
      <w:r>
        <w:rPr>
          <w:rStyle w:val="A7"/>
          <w:i w:val="0"/>
          <w:iCs w:val="0"/>
        </w:rPr>
        <w:t>Семейный врач может эффективно оценивать уровень витамина Д</w:t>
      </w:r>
      <w:r>
        <w:rPr>
          <w:rStyle w:val="A8"/>
          <w:i w:val="0"/>
          <w:iCs w:val="0"/>
          <w:sz w:val="9"/>
          <w:szCs w:val="9"/>
        </w:rPr>
        <w:t xml:space="preserve">3 </w:t>
      </w:r>
      <w:r>
        <w:rPr>
          <w:rStyle w:val="A7"/>
          <w:i w:val="0"/>
          <w:iCs w:val="0"/>
        </w:rPr>
        <w:t>у пациента, посещающе</w:t>
      </w:r>
      <w:r>
        <w:rPr>
          <w:rStyle w:val="A7"/>
          <w:i w:val="0"/>
          <w:iCs w:val="0"/>
        </w:rPr>
        <w:softHyphen/>
        <w:t>го медицинское учреждение. Прием витамина Д</w:t>
      </w:r>
      <w:r>
        <w:rPr>
          <w:rStyle w:val="A8"/>
          <w:i w:val="0"/>
          <w:iCs w:val="0"/>
          <w:sz w:val="9"/>
          <w:szCs w:val="9"/>
        </w:rPr>
        <w:t xml:space="preserve">3 </w:t>
      </w:r>
      <w:r>
        <w:rPr>
          <w:rStyle w:val="A7"/>
          <w:i w:val="0"/>
          <w:iCs w:val="0"/>
        </w:rPr>
        <w:t xml:space="preserve">даёт хороший клинический результат при частых вирусных инфекциях дыхательных путей. </w:t>
      </w:r>
    </w:p>
    <w:p w:rsidR="00A70BB1" w:rsidRDefault="00A70BB1" w:rsidP="00A70BB1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>витамин Д</w:t>
      </w:r>
      <w:r>
        <w:rPr>
          <w:rStyle w:val="A8"/>
        </w:rPr>
        <w:t xml:space="preserve">3 </w:t>
      </w:r>
      <w:r>
        <w:rPr>
          <w:rStyle w:val="A7"/>
        </w:rPr>
        <w:t>(</w:t>
      </w:r>
      <w:proofErr w:type="spellStart"/>
      <w:r>
        <w:rPr>
          <w:rStyle w:val="A7"/>
        </w:rPr>
        <w:t>холекальциферол</w:t>
      </w:r>
      <w:proofErr w:type="spellEnd"/>
      <w:r>
        <w:rPr>
          <w:rStyle w:val="A7"/>
        </w:rPr>
        <w:t xml:space="preserve">), </w:t>
      </w:r>
      <w:proofErr w:type="spellStart"/>
      <w:r>
        <w:rPr>
          <w:rStyle w:val="A7"/>
        </w:rPr>
        <w:t>Д-калвит</w:t>
      </w:r>
      <w:proofErr w:type="spellEnd"/>
      <w:r>
        <w:rPr>
          <w:rStyle w:val="A7"/>
        </w:rPr>
        <w:t xml:space="preserve">, пастилки </w:t>
      </w:r>
      <w:proofErr w:type="spellStart"/>
      <w:r>
        <w:rPr>
          <w:rStyle w:val="A7"/>
        </w:rPr>
        <w:t>Деньвит</w:t>
      </w:r>
      <w:proofErr w:type="spellEnd"/>
      <w:r>
        <w:rPr>
          <w:rStyle w:val="A7"/>
        </w:rPr>
        <w:t xml:space="preserve"> Д</w:t>
      </w:r>
      <w:r>
        <w:rPr>
          <w:rStyle w:val="A8"/>
        </w:rPr>
        <w:t xml:space="preserve">3 </w:t>
      </w:r>
      <w:proofErr w:type="spellStart"/>
      <w:r>
        <w:rPr>
          <w:rStyle w:val="A7"/>
        </w:rPr>
        <w:t>иммуно</w:t>
      </w:r>
      <w:proofErr w:type="spellEnd"/>
      <w:r>
        <w:rPr>
          <w:rStyle w:val="A7"/>
        </w:rPr>
        <w:t>, гиповитаминоз Д</w:t>
      </w:r>
      <w:r>
        <w:rPr>
          <w:rStyle w:val="A8"/>
        </w:rPr>
        <w:t>3</w:t>
      </w:r>
      <w:r>
        <w:rPr>
          <w:rStyle w:val="A7"/>
        </w:rPr>
        <w:t>, семейный врач</w:t>
      </w:r>
    </w:p>
    <w:p w:rsidR="00A70BB1" w:rsidRDefault="00A70BB1" w:rsidP="00A70BB1">
      <w:pPr>
        <w:pStyle w:val="Pa21"/>
        <w:rPr>
          <w:rFonts w:cs="Palatino Linotype"/>
          <w:color w:val="000000"/>
          <w:sz w:val="22"/>
          <w:szCs w:val="22"/>
        </w:rPr>
      </w:pPr>
      <w:r>
        <w:rPr>
          <w:rStyle w:val="A10"/>
          <w:b/>
          <w:bCs/>
          <w:i/>
          <w:iCs/>
        </w:rPr>
        <w:t>1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Каримов С.М., </w:t>
      </w:r>
      <w:r>
        <w:rPr>
          <w:rStyle w:val="A10"/>
          <w:b/>
          <w:bCs/>
          <w:i/>
          <w:iCs/>
        </w:rPr>
        <w:t>2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Гаибов А.Г. </w:t>
      </w:r>
    </w:p>
    <w:p w:rsidR="00A70BB1" w:rsidRDefault="00A70BB1" w:rsidP="00A70BB1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ОРГАНИЗАЦИОННЫЕ АСПЕКТЫ ИЗУЧЕНИЯ ПРОТЯЖЕННОСТИ ОККЛЮЗИОННЫХ ДЕФЕКТОВ У НАСЕЛЕНИЯ РЕСПУБЛИКИ ТАДЖИКИСТАН </w:t>
      </w:r>
    </w:p>
    <w:p w:rsidR="00A70BB1" w:rsidRDefault="00A70BB1" w:rsidP="00A70BB1">
      <w:pPr>
        <w:pStyle w:val="Pa1"/>
        <w:jc w:val="both"/>
        <w:rPr>
          <w:rFonts w:cs="Palatino Linotype"/>
          <w:color w:val="000000"/>
          <w:sz w:val="22"/>
          <w:szCs w:val="22"/>
        </w:rPr>
      </w:pPr>
      <w:r>
        <w:rPr>
          <w:rStyle w:val="A10"/>
        </w:rPr>
        <w:t>1</w:t>
      </w:r>
      <w:r>
        <w:rPr>
          <w:rFonts w:cs="Palatino Linotype"/>
          <w:color w:val="000000"/>
          <w:sz w:val="22"/>
          <w:szCs w:val="22"/>
        </w:rPr>
        <w:t xml:space="preserve">Кафедра терапевтической стоматологии ГОУ </w:t>
      </w:r>
      <w:proofErr w:type="spellStart"/>
      <w:r>
        <w:rPr>
          <w:rFonts w:cs="Palatino Linotype"/>
          <w:color w:val="000000"/>
          <w:sz w:val="22"/>
          <w:szCs w:val="22"/>
        </w:rPr>
        <w:t>ИПОвСЗ</w:t>
      </w:r>
      <w:proofErr w:type="spellEnd"/>
      <w:r>
        <w:rPr>
          <w:rFonts w:cs="Palatino Linotype"/>
          <w:color w:val="000000"/>
          <w:sz w:val="22"/>
          <w:szCs w:val="22"/>
        </w:rPr>
        <w:t xml:space="preserve"> РТ </w:t>
      </w:r>
    </w:p>
    <w:p w:rsidR="00A70BB1" w:rsidRDefault="00A70BB1" w:rsidP="00A70BB1">
      <w:pPr>
        <w:jc w:val="both"/>
        <w:rPr>
          <w:rFonts w:cs="Palatino Linotype"/>
          <w:color w:val="000000"/>
        </w:rPr>
      </w:pPr>
      <w:r>
        <w:rPr>
          <w:rStyle w:val="A10"/>
        </w:rPr>
        <w:t>2</w:t>
      </w:r>
      <w:r>
        <w:rPr>
          <w:rFonts w:cs="Palatino Linotype"/>
          <w:color w:val="000000"/>
        </w:rPr>
        <w:t xml:space="preserve">ГУ «НИИ медико-социальной экспертизы и реабилитации инвалидов» </w:t>
      </w:r>
      <w:proofErr w:type="spellStart"/>
      <w:r>
        <w:rPr>
          <w:rFonts w:cs="Palatino Linotype"/>
          <w:color w:val="000000"/>
        </w:rPr>
        <w:t>МЗиСЗН</w:t>
      </w:r>
      <w:proofErr w:type="spellEnd"/>
      <w:r>
        <w:rPr>
          <w:rFonts w:cs="Palatino Linotype"/>
          <w:color w:val="000000"/>
        </w:rPr>
        <w:t xml:space="preserve"> РТ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Цель исследования. </w:t>
      </w:r>
      <w:r>
        <w:rPr>
          <w:rStyle w:val="A7"/>
          <w:i w:val="0"/>
          <w:iCs w:val="0"/>
        </w:rPr>
        <w:t xml:space="preserve">Провести организационную оценку степени распространенности и интенсивности </w:t>
      </w:r>
      <w:proofErr w:type="spellStart"/>
      <w:r>
        <w:rPr>
          <w:rStyle w:val="A7"/>
          <w:i w:val="0"/>
          <w:iCs w:val="0"/>
        </w:rPr>
        <w:t>окклюзионных</w:t>
      </w:r>
      <w:proofErr w:type="spellEnd"/>
      <w:r>
        <w:rPr>
          <w:rStyle w:val="A7"/>
          <w:i w:val="0"/>
          <w:iCs w:val="0"/>
        </w:rPr>
        <w:t xml:space="preserve"> дефектов у населения Республики Таджикистан.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Материал и методы. </w:t>
      </w:r>
      <w:r>
        <w:rPr>
          <w:rStyle w:val="A7"/>
          <w:i w:val="0"/>
          <w:iCs w:val="0"/>
        </w:rPr>
        <w:t xml:space="preserve">Изучено состояние </w:t>
      </w:r>
      <w:proofErr w:type="spellStart"/>
      <w:r>
        <w:rPr>
          <w:rStyle w:val="A7"/>
          <w:i w:val="0"/>
          <w:iCs w:val="0"/>
        </w:rPr>
        <w:t>окклюзионных</w:t>
      </w:r>
      <w:proofErr w:type="spellEnd"/>
      <w:r>
        <w:rPr>
          <w:rStyle w:val="A7"/>
          <w:i w:val="0"/>
          <w:iCs w:val="0"/>
        </w:rPr>
        <w:t xml:space="preserve"> дефектов у 1264 пациентов. По результатам орга</w:t>
      </w:r>
      <w:r>
        <w:rPr>
          <w:rStyle w:val="A7"/>
          <w:i w:val="0"/>
          <w:iCs w:val="0"/>
        </w:rPr>
        <w:softHyphen/>
        <w:t xml:space="preserve">низационного анализа </w:t>
      </w:r>
      <w:proofErr w:type="spellStart"/>
      <w:r>
        <w:rPr>
          <w:rStyle w:val="A7"/>
          <w:i w:val="0"/>
          <w:iCs w:val="0"/>
        </w:rPr>
        <w:t>пронализированных</w:t>
      </w:r>
      <w:proofErr w:type="spellEnd"/>
      <w:r>
        <w:rPr>
          <w:rStyle w:val="A7"/>
          <w:i w:val="0"/>
          <w:iCs w:val="0"/>
        </w:rPr>
        <w:t xml:space="preserve"> карт стоматологические пациенты были разделены на 3 группы: 1 – с малыми дефектами зубных рядов (отсутствие от 1 до 3 зубов); 2 – со средними дефектами зубных рядов (отсутствие 4-6 зубов); 3 – с большими </w:t>
      </w:r>
      <w:proofErr w:type="spellStart"/>
      <w:r>
        <w:rPr>
          <w:rStyle w:val="A7"/>
          <w:i w:val="0"/>
          <w:iCs w:val="0"/>
        </w:rPr>
        <w:t>окклюзионными</w:t>
      </w:r>
      <w:proofErr w:type="spellEnd"/>
      <w:r>
        <w:rPr>
          <w:rStyle w:val="A7"/>
          <w:i w:val="0"/>
          <w:iCs w:val="0"/>
        </w:rPr>
        <w:t xml:space="preserve"> дефектами (отсутствие более 6 зубов).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Результаты. </w:t>
      </w:r>
      <w:r>
        <w:rPr>
          <w:rStyle w:val="A7"/>
          <w:i w:val="0"/>
          <w:iCs w:val="0"/>
        </w:rPr>
        <w:t xml:space="preserve">Редукция распространенности дефекта была самая значительная в отношении </w:t>
      </w:r>
      <w:proofErr w:type="spellStart"/>
      <w:r>
        <w:rPr>
          <w:rStyle w:val="A7"/>
          <w:i w:val="0"/>
          <w:iCs w:val="0"/>
        </w:rPr>
        <w:t>окклюзионных</w:t>
      </w:r>
      <w:proofErr w:type="spellEnd"/>
      <w:r>
        <w:rPr>
          <w:rStyle w:val="A7"/>
          <w:i w:val="0"/>
          <w:iCs w:val="0"/>
        </w:rPr>
        <w:t xml:space="preserve"> дефектов с малой протяженностью и, напротив, прирост распространенности утраченных зубов был самым значительным в отношении дефектов зубных рядов со средней и большой протяженностью.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Заключение. </w:t>
      </w:r>
      <w:r>
        <w:rPr>
          <w:rStyle w:val="A7"/>
          <w:i w:val="0"/>
          <w:iCs w:val="0"/>
        </w:rPr>
        <w:t>Полученный фактический материал позволяет в комплексе совершенствовать оказание ортопе</w:t>
      </w:r>
      <w:r>
        <w:rPr>
          <w:rStyle w:val="A7"/>
          <w:i w:val="0"/>
          <w:iCs w:val="0"/>
        </w:rPr>
        <w:softHyphen/>
        <w:t xml:space="preserve">дической стоматологической помощи и в дальнейшем полностью сократить риск </w:t>
      </w:r>
      <w:proofErr w:type="spellStart"/>
      <w:r>
        <w:rPr>
          <w:rStyle w:val="A7"/>
          <w:i w:val="0"/>
          <w:iCs w:val="0"/>
        </w:rPr>
        <w:t>инвалидизации</w:t>
      </w:r>
      <w:proofErr w:type="spellEnd"/>
      <w:r>
        <w:rPr>
          <w:rStyle w:val="A7"/>
          <w:i w:val="0"/>
          <w:iCs w:val="0"/>
        </w:rPr>
        <w:t xml:space="preserve"> жевательного аппарата у стоматологических пациентов. </w:t>
      </w:r>
    </w:p>
    <w:p w:rsidR="00A70BB1" w:rsidRDefault="00A70BB1" w:rsidP="00A70BB1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proofErr w:type="spellStart"/>
      <w:r>
        <w:rPr>
          <w:rStyle w:val="A7"/>
        </w:rPr>
        <w:t>окклюзионные</w:t>
      </w:r>
      <w:proofErr w:type="spellEnd"/>
      <w:r>
        <w:rPr>
          <w:rStyle w:val="A7"/>
        </w:rPr>
        <w:t xml:space="preserve"> дефекты, протяженность дефекта, отсутствие </w:t>
      </w:r>
      <w:proofErr w:type="spellStart"/>
      <w:r>
        <w:rPr>
          <w:rStyle w:val="A7"/>
        </w:rPr>
        <w:t>зуба</w:t>
      </w:r>
      <w:proofErr w:type="gramStart"/>
      <w:r>
        <w:rPr>
          <w:rStyle w:val="A7"/>
        </w:rPr>
        <w:t>,и</w:t>
      </w:r>
      <w:proofErr w:type="gramEnd"/>
      <w:r>
        <w:rPr>
          <w:rStyle w:val="A7"/>
        </w:rPr>
        <w:t>нтенсивность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окклюзионного</w:t>
      </w:r>
      <w:proofErr w:type="spellEnd"/>
      <w:r>
        <w:rPr>
          <w:rStyle w:val="A7"/>
        </w:rPr>
        <w:t xml:space="preserve"> дефекта</w:t>
      </w:r>
    </w:p>
    <w:p w:rsidR="00A70BB1" w:rsidRDefault="00A70BB1" w:rsidP="00A70BB1">
      <w:pPr>
        <w:pStyle w:val="Pa21"/>
        <w:rPr>
          <w:rFonts w:cs="Palatino Linotype"/>
          <w:color w:val="000000"/>
          <w:sz w:val="22"/>
          <w:szCs w:val="22"/>
        </w:rPr>
      </w:pP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Мардонова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С.М. </w:t>
      </w:r>
    </w:p>
    <w:p w:rsidR="00A70BB1" w:rsidRDefault="00A70BB1" w:rsidP="00A70BB1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МЕДИЦИНСКИЕ И СОЦИАЛЬНЫЕ АСПЕКТЫ РЕПРОДУКТИВНОГО ЗДОРОВЬЯ ДЕВОЧЕК И ДЕВУШЕК С ГИНЕКОЛОГИЧЕСКИМИ ЗАБОЛЕВАНИЯМИ </w:t>
      </w:r>
    </w:p>
    <w:p w:rsidR="00A70BB1" w:rsidRDefault="00A70BB1" w:rsidP="00A70BB1">
      <w:pPr>
        <w:jc w:val="both"/>
        <w:rPr>
          <w:rFonts w:cs="Palatino Linotype"/>
          <w:color w:val="000000"/>
        </w:rPr>
      </w:pPr>
      <w:r>
        <w:rPr>
          <w:rFonts w:cs="Palatino Linotype"/>
          <w:color w:val="000000"/>
        </w:rPr>
        <w:t xml:space="preserve">ГУ «Таджикский НИИ акушерства, гинекологии и </w:t>
      </w:r>
      <w:proofErr w:type="spellStart"/>
      <w:r>
        <w:rPr>
          <w:rFonts w:cs="Palatino Linotype"/>
          <w:color w:val="000000"/>
        </w:rPr>
        <w:t>перинатологии</w:t>
      </w:r>
      <w:proofErr w:type="spellEnd"/>
      <w:r>
        <w:rPr>
          <w:rFonts w:cs="Palatino Linotype"/>
          <w:color w:val="000000"/>
        </w:rPr>
        <w:t xml:space="preserve">» </w:t>
      </w:r>
      <w:proofErr w:type="spellStart"/>
      <w:r>
        <w:rPr>
          <w:rFonts w:cs="Palatino Linotype"/>
          <w:color w:val="000000"/>
        </w:rPr>
        <w:t>МЗиСЗН</w:t>
      </w:r>
      <w:proofErr w:type="spellEnd"/>
      <w:r>
        <w:rPr>
          <w:rFonts w:cs="Palatino Linotype"/>
          <w:color w:val="000000"/>
        </w:rPr>
        <w:t xml:space="preserve"> РТ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lastRenderedPageBreak/>
        <w:t xml:space="preserve">Цель исследования. </w:t>
      </w:r>
      <w:r>
        <w:rPr>
          <w:rStyle w:val="A7"/>
          <w:i w:val="0"/>
          <w:iCs w:val="0"/>
        </w:rPr>
        <w:t xml:space="preserve">Изучить медицинские и социальные аспекты репродуктивного здоровья девочек и девушек с гинекологическими заболеваниями и выявить формирующие их факторы. </w:t>
      </w:r>
    </w:p>
    <w:p w:rsidR="00A70BB1" w:rsidRDefault="00A70BB1" w:rsidP="00A70BB1">
      <w:pPr>
        <w:pStyle w:val="Pa2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Материал и методы. </w:t>
      </w:r>
      <w:r>
        <w:rPr>
          <w:rStyle w:val="A7"/>
          <w:i w:val="0"/>
          <w:iCs w:val="0"/>
        </w:rPr>
        <w:t>Путем анкетирования изучили медико-социальный портрет 390 девочек и девушек 0-18 лет с гинекологическими заболеваниями. Обследование проводили в присутствии матерей, после их пись</w:t>
      </w:r>
      <w:r>
        <w:rPr>
          <w:rStyle w:val="A7"/>
          <w:i w:val="0"/>
          <w:iCs w:val="0"/>
        </w:rPr>
        <w:softHyphen/>
        <w:t xml:space="preserve">менного согласия </w:t>
      </w:r>
    </w:p>
    <w:p w:rsidR="00A70BB1" w:rsidRDefault="00A70BB1" w:rsidP="00A70BB1">
      <w:pPr>
        <w:pStyle w:val="Pa23"/>
        <w:ind w:firstLine="280"/>
        <w:jc w:val="both"/>
        <w:rPr>
          <w:rFonts w:cs="Palatino Linotype"/>
          <w:color w:val="000000"/>
          <w:sz w:val="16"/>
          <w:szCs w:val="16"/>
        </w:rPr>
      </w:pPr>
      <w:r>
        <w:rPr>
          <w:rStyle w:val="A7"/>
          <w:b/>
          <w:bCs/>
          <w:i w:val="0"/>
          <w:iCs w:val="0"/>
          <w:sz w:val="16"/>
          <w:szCs w:val="16"/>
        </w:rPr>
        <w:t xml:space="preserve">Результаты. </w:t>
      </w:r>
      <w:r>
        <w:rPr>
          <w:rStyle w:val="A7"/>
          <w:i w:val="0"/>
          <w:iCs w:val="0"/>
          <w:sz w:val="16"/>
          <w:szCs w:val="16"/>
        </w:rPr>
        <w:t>Нарушения репродуктивного здоровья в 59,3% случаев проявились в период полового развития, т.е. в возрасте от 15 до 18 лет и чаще наблюдалось у жительниц городов (59,1%). Все девочки с нарушениями репродуктивного здоровья развивались на фоне осложнений беременности: каждая четвертая - на фоне многоводия, угрозы прерывания беременности и дородового разрыва плодных оболочек; каждая третья родилась маловесной. Гипертензивные нару</w:t>
      </w:r>
      <w:r>
        <w:rPr>
          <w:rStyle w:val="A7"/>
          <w:i w:val="0"/>
          <w:iCs w:val="0"/>
          <w:sz w:val="16"/>
          <w:szCs w:val="16"/>
        </w:rPr>
        <w:softHyphen/>
        <w:t xml:space="preserve">шения и кровотечения во время беременности и в родах не превышали 10,0%, однако в 2 раза чаще встречались у мам девочек с </w:t>
      </w:r>
      <w:proofErr w:type="spellStart"/>
      <w:r>
        <w:rPr>
          <w:rStyle w:val="A7"/>
          <w:i w:val="0"/>
          <w:iCs w:val="0"/>
          <w:sz w:val="16"/>
          <w:szCs w:val="16"/>
        </w:rPr>
        <w:t>гипоменструальным</w:t>
      </w:r>
      <w:proofErr w:type="spellEnd"/>
      <w:r>
        <w:rPr>
          <w:rStyle w:val="A7"/>
          <w:i w:val="0"/>
          <w:iCs w:val="0"/>
          <w:sz w:val="16"/>
          <w:szCs w:val="16"/>
        </w:rPr>
        <w:t xml:space="preserve"> синдромом. На грудном вскармливании чаще были жительницы сельской местности. Искусственное питание в 62,3% случаев получили девочки с аномальными маточными кровотечениями и каждая вторая девочка - с воспалительными заболеваниями органов гениталий и дисменореей. В периоде раннего детства девочки и девушки с нарушениями репродуктивного здоровья перенесли более 3-х детских инфекций. В структуре соматической патологии превалировали заболевания мочевыделительной системы (59,1%), желудочно-кишечного тракта (48,8%) и дисфункция щитовидной железы (52,3%). </w:t>
      </w:r>
    </w:p>
    <w:p w:rsidR="00A70BB1" w:rsidRDefault="00A70BB1" w:rsidP="00A70BB1">
      <w:pPr>
        <w:pStyle w:val="Pa2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i w:val="0"/>
          <w:iCs w:val="0"/>
        </w:rPr>
        <w:t xml:space="preserve">71,2% девочек с нарушениями репродуктивного здоровья - учащиеся с дополнительной умственной нагрузкой. </w:t>
      </w:r>
    </w:p>
    <w:p w:rsidR="00A70BB1" w:rsidRDefault="00A70BB1" w:rsidP="00A70BB1">
      <w:pPr>
        <w:pStyle w:val="Pa2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Заключение. </w:t>
      </w:r>
      <w:r>
        <w:rPr>
          <w:rStyle w:val="A7"/>
          <w:i w:val="0"/>
          <w:iCs w:val="0"/>
        </w:rPr>
        <w:t>Факторами риска нарушений в репродуктивной системе в период полового развития являются: неблагоприятное антенатальное развитие, высокий индекс детских инфекций, соматических заболеваний и несбалан</w:t>
      </w:r>
      <w:r>
        <w:rPr>
          <w:rStyle w:val="A7"/>
          <w:i w:val="0"/>
          <w:iCs w:val="0"/>
        </w:rPr>
        <w:softHyphen/>
        <w:t xml:space="preserve">сированное питание, повышенная умственная нагрузка. </w:t>
      </w:r>
    </w:p>
    <w:p w:rsidR="00A70BB1" w:rsidRDefault="00A70BB1" w:rsidP="00A70BB1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>репродуктивное здоровье, девочки и девушки, медико-социальные аспекты</w:t>
      </w:r>
    </w:p>
    <w:p w:rsidR="00A70BB1" w:rsidRDefault="00A70BB1" w:rsidP="00A70BB1">
      <w:pPr>
        <w:pStyle w:val="Pa21"/>
        <w:rPr>
          <w:rFonts w:cs="Palatino Linotype"/>
          <w:color w:val="000000"/>
          <w:sz w:val="22"/>
          <w:szCs w:val="22"/>
        </w:rPr>
      </w:pPr>
      <w:r>
        <w:rPr>
          <w:rStyle w:val="A10"/>
          <w:b/>
          <w:bCs/>
          <w:i/>
          <w:iCs/>
        </w:rPr>
        <w:t>1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Махмадов Ф.И., </w:t>
      </w:r>
      <w:r>
        <w:rPr>
          <w:rStyle w:val="A10"/>
          <w:b/>
          <w:bCs/>
          <w:i/>
          <w:iCs/>
        </w:rPr>
        <w:t>2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Давлатов М.В., </w:t>
      </w:r>
      <w:r>
        <w:rPr>
          <w:rStyle w:val="A10"/>
          <w:b/>
          <w:bCs/>
          <w:i/>
          <w:iCs/>
        </w:rPr>
        <w:t>3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Рахимов Н.О., </w:t>
      </w:r>
      <w:r>
        <w:rPr>
          <w:rStyle w:val="A10"/>
          <w:b/>
          <w:bCs/>
          <w:i/>
          <w:iCs/>
        </w:rPr>
        <w:t>3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Бердиев Р.Н., </w:t>
      </w:r>
      <w:r>
        <w:rPr>
          <w:rStyle w:val="A10"/>
          <w:b/>
          <w:bCs/>
          <w:i/>
          <w:iCs/>
        </w:rPr>
        <w:t>2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Наимов Р.К. </w:t>
      </w:r>
    </w:p>
    <w:p w:rsidR="00A70BB1" w:rsidRDefault="00A70BB1" w:rsidP="00A70BB1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ВЛИЯНИЕ ДИАГНОСТИЧЕСКИХ МЕРОПРИЯТИЙ НА ИСХОД ЛЕЧЕНИЯ БОЛЬНЫХ С КРАНИО-АБДОМИНАЛЬНЫМИ ТРАВМАМИ </w:t>
      </w:r>
    </w:p>
    <w:p w:rsidR="00A70BB1" w:rsidRDefault="00A70BB1" w:rsidP="00A70BB1">
      <w:pPr>
        <w:pStyle w:val="Pa1"/>
        <w:jc w:val="both"/>
        <w:rPr>
          <w:rFonts w:cs="Palatino Linotype"/>
          <w:color w:val="000000"/>
          <w:sz w:val="22"/>
          <w:szCs w:val="22"/>
        </w:rPr>
      </w:pPr>
      <w:r>
        <w:rPr>
          <w:rStyle w:val="A10"/>
        </w:rPr>
        <w:t>1</w:t>
      </w:r>
      <w:r>
        <w:rPr>
          <w:rFonts w:cs="Palatino Linotype"/>
          <w:color w:val="000000"/>
          <w:sz w:val="22"/>
          <w:szCs w:val="22"/>
        </w:rPr>
        <w:t xml:space="preserve">Кафедра хирургических болезней №1 ГОУ ТГМУ им. Абуали ибн </w:t>
      </w:r>
      <w:proofErr w:type="spellStart"/>
      <w:r>
        <w:rPr>
          <w:rFonts w:cs="Palatino Linotype"/>
          <w:color w:val="000000"/>
          <w:sz w:val="22"/>
          <w:szCs w:val="22"/>
        </w:rPr>
        <w:t>Сино</w:t>
      </w:r>
      <w:proofErr w:type="spellEnd"/>
      <w:r>
        <w:rPr>
          <w:rFonts w:cs="Palatino Linotype"/>
          <w:color w:val="000000"/>
          <w:sz w:val="22"/>
          <w:szCs w:val="22"/>
        </w:rPr>
        <w:t xml:space="preserve"> </w:t>
      </w:r>
    </w:p>
    <w:p w:rsidR="00A70BB1" w:rsidRDefault="00A70BB1" w:rsidP="00A70BB1">
      <w:pPr>
        <w:pStyle w:val="Pa1"/>
        <w:jc w:val="both"/>
        <w:rPr>
          <w:rFonts w:cs="Palatino Linotype"/>
          <w:color w:val="000000"/>
          <w:sz w:val="22"/>
          <w:szCs w:val="22"/>
        </w:rPr>
      </w:pPr>
      <w:r>
        <w:rPr>
          <w:rStyle w:val="A10"/>
        </w:rPr>
        <w:t>2</w:t>
      </w:r>
      <w:r>
        <w:rPr>
          <w:rFonts w:cs="Palatino Linotype"/>
          <w:color w:val="000000"/>
          <w:sz w:val="22"/>
          <w:szCs w:val="22"/>
        </w:rPr>
        <w:t xml:space="preserve">Кафедра нейрохирургии и </w:t>
      </w:r>
      <w:proofErr w:type="spellStart"/>
      <w:r>
        <w:rPr>
          <w:rFonts w:cs="Palatino Linotype"/>
          <w:color w:val="000000"/>
          <w:sz w:val="22"/>
          <w:szCs w:val="22"/>
        </w:rPr>
        <w:t>вертебрологии</w:t>
      </w:r>
      <w:proofErr w:type="spellEnd"/>
      <w:r>
        <w:rPr>
          <w:rFonts w:cs="Palatino Linotype"/>
          <w:color w:val="000000"/>
          <w:sz w:val="22"/>
          <w:szCs w:val="22"/>
        </w:rPr>
        <w:t xml:space="preserve"> ГОУ </w:t>
      </w:r>
      <w:proofErr w:type="spellStart"/>
      <w:r>
        <w:rPr>
          <w:rFonts w:cs="Palatino Linotype"/>
          <w:color w:val="000000"/>
          <w:sz w:val="22"/>
          <w:szCs w:val="22"/>
        </w:rPr>
        <w:t>ИПОвСЗ</w:t>
      </w:r>
      <w:proofErr w:type="spellEnd"/>
      <w:r>
        <w:rPr>
          <w:rFonts w:cs="Palatino Linotype"/>
          <w:color w:val="000000"/>
          <w:sz w:val="22"/>
          <w:szCs w:val="22"/>
        </w:rPr>
        <w:t xml:space="preserve"> РТ </w:t>
      </w:r>
    </w:p>
    <w:p w:rsidR="00A70BB1" w:rsidRDefault="00A70BB1" w:rsidP="00A70BB1">
      <w:pPr>
        <w:jc w:val="both"/>
        <w:rPr>
          <w:rFonts w:cs="Palatino Linotype"/>
          <w:color w:val="000000"/>
        </w:rPr>
      </w:pPr>
      <w:r>
        <w:rPr>
          <w:rStyle w:val="A10"/>
        </w:rPr>
        <w:t>3</w:t>
      </w:r>
      <w:r>
        <w:rPr>
          <w:rFonts w:cs="Palatino Linotype"/>
          <w:color w:val="000000"/>
        </w:rPr>
        <w:t xml:space="preserve">Кафедра нейрохирургии и сочетанных травм ГОУ ТГМУ им. Абуали ибн </w:t>
      </w:r>
      <w:proofErr w:type="spellStart"/>
      <w:r>
        <w:rPr>
          <w:rFonts w:cs="Palatino Linotype"/>
          <w:color w:val="000000"/>
        </w:rPr>
        <w:t>Сино</w:t>
      </w:r>
      <w:proofErr w:type="spellEnd"/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Palatino Linotype" w:hAnsi="Palatino Linotype" w:cs="Palatino Linotype"/>
          <w:color w:val="000000"/>
          <w:sz w:val="18"/>
          <w:szCs w:val="18"/>
        </w:rPr>
      </w:pPr>
      <w:r w:rsidRPr="00A70BB1">
        <w:rPr>
          <w:rFonts w:ascii="Palatino Linotype" w:hAnsi="Palatino Linotype" w:cs="Palatino Linotype"/>
          <w:b/>
          <w:bCs/>
          <w:color w:val="000000"/>
          <w:sz w:val="18"/>
        </w:rPr>
        <w:t xml:space="preserve">Цель исследования. </w:t>
      </w:r>
      <w:r w:rsidRPr="00A70BB1">
        <w:rPr>
          <w:rFonts w:ascii="Palatino Linotype" w:hAnsi="Palatino Linotype" w:cs="Palatino Linotype"/>
          <w:color w:val="000000"/>
          <w:sz w:val="18"/>
        </w:rPr>
        <w:t xml:space="preserve">Определить влияние диагностических мероприятий на исход лечения больных с </w:t>
      </w:r>
      <w:proofErr w:type="spellStart"/>
      <w:r w:rsidRPr="00A70BB1">
        <w:rPr>
          <w:rFonts w:ascii="Palatino Linotype" w:hAnsi="Palatino Linotype" w:cs="Palatino Linotype"/>
          <w:color w:val="000000"/>
          <w:sz w:val="18"/>
        </w:rPr>
        <w:t>кра</w:t>
      </w:r>
      <w:r w:rsidRPr="00A70BB1">
        <w:rPr>
          <w:rFonts w:ascii="Palatino Linotype" w:hAnsi="Palatino Linotype" w:cs="Palatino Linotype"/>
          <w:color w:val="000000"/>
          <w:sz w:val="18"/>
        </w:rPr>
        <w:softHyphen/>
        <w:t>нио-абдоминальными</w:t>
      </w:r>
      <w:proofErr w:type="spellEnd"/>
      <w:r w:rsidRPr="00A70BB1">
        <w:rPr>
          <w:rFonts w:ascii="Palatino Linotype" w:hAnsi="Palatino Linotype" w:cs="Palatino Linotype"/>
          <w:color w:val="000000"/>
          <w:sz w:val="18"/>
        </w:rPr>
        <w:t xml:space="preserve"> травмами (КАТ). </w:t>
      </w:r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Palatino Linotype" w:hAnsi="Palatino Linotype" w:cs="Palatino Linotype"/>
          <w:color w:val="000000"/>
          <w:sz w:val="18"/>
          <w:szCs w:val="18"/>
        </w:rPr>
      </w:pPr>
      <w:r w:rsidRPr="00A70BB1">
        <w:rPr>
          <w:rFonts w:ascii="Palatino Linotype" w:hAnsi="Palatino Linotype" w:cs="Palatino Linotype"/>
          <w:b/>
          <w:bCs/>
          <w:color w:val="000000"/>
          <w:sz w:val="18"/>
        </w:rPr>
        <w:t xml:space="preserve">Материал и методы. </w:t>
      </w:r>
      <w:r w:rsidRPr="00A70BB1">
        <w:rPr>
          <w:rFonts w:ascii="Palatino Linotype" w:hAnsi="Palatino Linotype" w:cs="Palatino Linotype"/>
          <w:color w:val="000000"/>
          <w:sz w:val="18"/>
        </w:rPr>
        <w:t xml:space="preserve">Проведен ретроспективный анализ 267 пострадавших с сочетанными травмами: мужчин – 173 (64,8%), женщин – 94 (35,2%). Повреждения живота наиболее часто сочетались с повреждением соседних анатомических зон: живот + таз – 21,0%, живот + грудь – 18,7%, живот + грудь + таз – 13,8 %, живот + грудь + верхняя конечность – 6,7%, живот + таз + нижняя конечность – 5,2%. </w:t>
      </w:r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Palatino Linotype" w:hAnsi="Palatino Linotype" w:cs="Palatino Linotype"/>
          <w:color w:val="000000"/>
          <w:sz w:val="18"/>
          <w:szCs w:val="18"/>
        </w:rPr>
      </w:pPr>
      <w:r w:rsidRPr="00A70BB1">
        <w:rPr>
          <w:rFonts w:ascii="Palatino Linotype" w:hAnsi="Palatino Linotype" w:cs="Palatino Linotype"/>
          <w:color w:val="000000"/>
          <w:sz w:val="18"/>
        </w:rPr>
        <w:t xml:space="preserve">Сочетание абдоминальной травмы с черепно-мозговой травмой составило 34,5% (n=92). Преобладающими причинами КАТ были дорожно-транспортные происшествия (83,7%). </w:t>
      </w:r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Palatino Linotype" w:hAnsi="Palatino Linotype" w:cs="Palatino Linotype"/>
          <w:color w:val="000000"/>
          <w:sz w:val="18"/>
          <w:szCs w:val="18"/>
        </w:rPr>
      </w:pPr>
      <w:r w:rsidRPr="00A70BB1">
        <w:rPr>
          <w:rFonts w:ascii="Palatino Linotype" w:hAnsi="Palatino Linotype" w:cs="Palatino Linotype"/>
          <w:color w:val="000000"/>
          <w:sz w:val="18"/>
        </w:rPr>
        <w:t xml:space="preserve">Диагностический алгоритм комплекса инструментальных исследований в остром периоде КАТ выполняли в стандартной последовательности: УЗИ, рентгенография, </w:t>
      </w:r>
      <w:proofErr w:type="spellStart"/>
      <w:r w:rsidRPr="00A70BB1">
        <w:rPr>
          <w:rFonts w:ascii="Palatino Linotype" w:hAnsi="Palatino Linotype" w:cs="Palatino Linotype"/>
          <w:color w:val="000000"/>
          <w:sz w:val="18"/>
        </w:rPr>
        <w:t>мультиспиральная</w:t>
      </w:r>
      <w:proofErr w:type="spellEnd"/>
      <w:r w:rsidRPr="00A70BB1">
        <w:rPr>
          <w:rFonts w:ascii="Palatino Linotype" w:hAnsi="Palatino Linotype" w:cs="Palatino Linotype"/>
          <w:color w:val="000000"/>
          <w:sz w:val="18"/>
        </w:rPr>
        <w:t xml:space="preserve"> компьютерная томография (МСКТ) и </w:t>
      </w:r>
      <w:proofErr w:type="spellStart"/>
      <w:r w:rsidRPr="00A70BB1">
        <w:rPr>
          <w:rFonts w:ascii="Palatino Linotype" w:hAnsi="Palatino Linotype" w:cs="Palatino Linotype"/>
          <w:color w:val="000000"/>
          <w:sz w:val="18"/>
        </w:rPr>
        <w:t>видеолапароскопия</w:t>
      </w:r>
      <w:proofErr w:type="spellEnd"/>
      <w:r w:rsidRPr="00A70BB1">
        <w:rPr>
          <w:rFonts w:ascii="Palatino Linotype" w:hAnsi="Palatino Linotype" w:cs="Palatino Linotype"/>
          <w:color w:val="000000"/>
          <w:sz w:val="18"/>
        </w:rPr>
        <w:t xml:space="preserve">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</w:rPr>
      </w:pPr>
      <w:r w:rsidRPr="00A70BB1">
        <w:rPr>
          <w:rFonts w:cs="Palatino Linotype"/>
          <w:b/>
          <w:bCs/>
          <w:color w:val="000000"/>
          <w:sz w:val="18"/>
        </w:rPr>
        <w:t xml:space="preserve">Результаты. </w:t>
      </w:r>
      <w:r w:rsidRPr="00A70BB1">
        <w:rPr>
          <w:rFonts w:cs="Palatino Linotype"/>
          <w:color w:val="000000"/>
          <w:sz w:val="18"/>
        </w:rPr>
        <w:t xml:space="preserve">Повреждения печени </w:t>
      </w:r>
      <w:proofErr w:type="gramStart"/>
      <w:r w:rsidRPr="00A70BB1">
        <w:rPr>
          <w:rFonts w:cs="Palatino Linotype"/>
          <w:color w:val="000000"/>
          <w:sz w:val="18"/>
        </w:rPr>
        <w:t>при</w:t>
      </w:r>
      <w:proofErr w:type="gramEnd"/>
      <w:r w:rsidRPr="00A70BB1">
        <w:rPr>
          <w:rFonts w:cs="Palatino Linotype"/>
          <w:color w:val="000000"/>
          <w:sz w:val="18"/>
        </w:rPr>
        <w:t xml:space="preserve"> КАТ отмечали у 22 (23,9%) пациентов, что закономерно характери</w:t>
      </w:r>
      <w:r w:rsidRPr="00A70BB1">
        <w:rPr>
          <w:rFonts w:cs="Palatino Linotype"/>
          <w:color w:val="000000"/>
          <w:sz w:val="18"/>
        </w:rPr>
        <w:softHyphen/>
        <w:t xml:space="preserve">зовалась скрытой клинической картиной, сложностью диагностики и развитием внутреннего кровотечения у 19 (7,11%) пациентов. Чаще имело место повреждение задних отделов правой доли печени – у 17 (6,36%) пациентов по механизму компрессии. При этом разрывы печени отмечены в 5 (22,7%) наблюдениях, которые выглядели как участки линейной формы, пониженной плотности во всех фазах </w:t>
      </w:r>
      <w:proofErr w:type="spellStart"/>
      <w:r w:rsidRPr="00A70BB1">
        <w:rPr>
          <w:rFonts w:cs="Palatino Linotype"/>
          <w:color w:val="000000"/>
          <w:sz w:val="18"/>
        </w:rPr>
        <w:t>контрастирования</w:t>
      </w:r>
      <w:proofErr w:type="spellEnd"/>
      <w:r w:rsidRPr="00A70BB1">
        <w:rPr>
          <w:rFonts w:cs="Palatino Linotype"/>
          <w:color w:val="000000"/>
          <w:sz w:val="18"/>
        </w:rPr>
        <w:t xml:space="preserve">. Повреждение селезенки </w:t>
      </w:r>
      <w:proofErr w:type="gramStart"/>
      <w:r w:rsidRPr="00A70BB1">
        <w:rPr>
          <w:rFonts w:cs="Palatino Linotype"/>
          <w:color w:val="000000"/>
          <w:sz w:val="18"/>
        </w:rPr>
        <w:t>при</w:t>
      </w:r>
      <w:proofErr w:type="gramEnd"/>
      <w:r w:rsidRPr="00A70BB1">
        <w:rPr>
          <w:rFonts w:cs="Palatino Linotype"/>
          <w:color w:val="000000"/>
          <w:sz w:val="18"/>
        </w:rPr>
        <w:t xml:space="preserve"> </w:t>
      </w:r>
      <w:proofErr w:type="gramStart"/>
      <w:r w:rsidRPr="00A70BB1">
        <w:rPr>
          <w:rFonts w:cs="Palatino Linotype"/>
          <w:color w:val="000000"/>
          <w:sz w:val="18"/>
        </w:rPr>
        <w:t>КАТ</w:t>
      </w:r>
      <w:proofErr w:type="gramEnd"/>
      <w:r w:rsidRPr="00A70BB1">
        <w:rPr>
          <w:rFonts w:cs="Palatino Linotype"/>
          <w:color w:val="000000"/>
          <w:sz w:val="18"/>
        </w:rPr>
        <w:t xml:space="preserve"> отмечено в 9 (9,8%) случаях. Характер повреждений селезенки варьировал от </w:t>
      </w:r>
      <w:proofErr w:type="spellStart"/>
      <w:r w:rsidRPr="00A70BB1">
        <w:rPr>
          <w:rFonts w:cs="Palatino Linotype"/>
          <w:color w:val="000000"/>
          <w:sz w:val="18"/>
        </w:rPr>
        <w:t>подкапсуль</w:t>
      </w:r>
      <w:r w:rsidRPr="00A70BB1">
        <w:rPr>
          <w:rFonts w:cs="Palatino Linotype"/>
          <w:color w:val="000000"/>
          <w:sz w:val="18"/>
        </w:rPr>
        <w:softHyphen/>
        <w:t>ной</w:t>
      </w:r>
      <w:proofErr w:type="spellEnd"/>
      <w:r w:rsidRPr="00A70BB1">
        <w:rPr>
          <w:rFonts w:cs="Palatino Linotype"/>
          <w:color w:val="000000"/>
          <w:sz w:val="18"/>
        </w:rPr>
        <w:t xml:space="preserve"> гематомы (n=6) до разрыва и повреждения сосудистой ножки (n=3). При этом </w:t>
      </w:r>
      <w:proofErr w:type="spellStart"/>
      <w:r w:rsidRPr="00A70BB1">
        <w:rPr>
          <w:rFonts w:cs="Palatino Linotype"/>
          <w:color w:val="000000"/>
          <w:sz w:val="18"/>
        </w:rPr>
        <w:t>бесконтрастный</w:t>
      </w:r>
      <w:proofErr w:type="spellEnd"/>
      <w:r w:rsidRPr="00A70BB1">
        <w:rPr>
          <w:rFonts w:cs="Palatino Linotype"/>
          <w:color w:val="000000"/>
          <w:sz w:val="18"/>
        </w:rPr>
        <w:t xml:space="preserve"> метод КТ при </w:t>
      </w:r>
      <w:proofErr w:type="spellStart"/>
      <w:r w:rsidRPr="00A70BB1">
        <w:rPr>
          <w:rFonts w:cs="Palatino Linotype"/>
          <w:color w:val="000000"/>
          <w:sz w:val="18"/>
        </w:rPr>
        <w:t>внутрипаренхиматозных</w:t>
      </w:r>
      <w:proofErr w:type="spellEnd"/>
      <w:r w:rsidRPr="00A70BB1">
        <w:rPr>
          <w:rFonts w:cs="Palatino Linotype"/>
          <w:color w:val="000000"/>
          <w:sz w:val="18"/>
        </w:rPr>
        <w:t xml:space="preserve"> кровоизлияниях селезенки имел низкую чувствительность и специфичность. И, наоборот, чувствительность КТ с контрастным усилением при диагностике травмы селезенки достигала 96%. Чувствительность </w:t>
      </w:r>
      <w:proofErr w:type="spellStart"/>
      <w:r w:rsidRPr="00A70BB1">
        <w:rPr>
          <w:rFonts w:cs="Palatino Linotype"/>
          <w:color w:val="000000"/>
          <w:sz w:val="18"/>
        </w:rPr>
        <w:t>мультиспиральной</w:t>
      </w:r>
      <w:proofErr w:type="spellEnd"/>
      <w:r w:rsidRPr="00A70BB1">
        <w:rPr>
          <w:rFonts w:cs="Palatino Linotype"/>
          <w:color w:val="000000"/>
          <w:sz w:val="18"/>
        </w:rPr>
        <w:t xml:space="preserve"> компьютерной томографии (МСКТ) в выявлении повреждений органов брюшной полости составила 97%, травмы печени - 95,3%, травмы селезенки – 98,8%, в то время как традиционная рентгенография значительно уступала в диагностике повреждений внутренних органов и со</w:t>
      </w:r>
      <w:r w:rsidRPr="00A70BB1">
        <w:rPr>
          <w:rFonts w:cs="Palatino Linotype"/>
          <w:color w:val="000000"/>
          <w:sz w:val="18"/>
        </w:rPr>
        <w:softHyphen/>
        <w:t>ставляла всего 10,2%.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Заключение. </w:t>
      </w:r>
      <w:r>
        <w:rPr>
          <w:rStyle w:val="A7"/>
          <w:i w:val="0"/>
          <w:iCs w:val="0"/>
        </w:rPr>
        <w:t xml:space="preserve">В условиях дефицита времени для детальной диагностики повреждений </w:t>
      </w:r>
      <w:proofErr w:type="gramStart"/>
      <w:r>
        <w:rPr>
          <w:rStyle w:val="A7"/>
          <w:i w:val="0"/>
          <w:iCs w:val="0"/>
        </w:rPr>
        <w:t>при</w:t>
      </w:r>
      <w:proofErr w:type="gramEnd"/>
      <w:r>
        <w:rPr>
          <w:rStyle w:val="A7"/>
          <w:i w:val="0"/>
          <w:iCs w:val="0"/>
        </w:rPr>
        <w:t xml:space="preserve"> КАТ наиболее оптимальным является проведение неотложной МСКТ. Точность </w:t>
      </w:r>
      <w:proofErr w:type="gramStart"/>
      <w:r>
        <w:rPr>
          <w:rStyle w:val="A7"/>
          <w:i w:val="0"/>
          <w:iCs w:val="0"/>
        </w:rPr>
        <w:t>диагностической</w:t>
      </w:r>
      <w:proofErr w:type="gramEnd"/>
      <w:r>
        <w:rPr>
          <w:rStyle w:val="A7"/>
          <w:i w:val="0"/>
          <w:iCs w:val="0"/>
        </w:rPr>
        <w:t xml:space="preserve"> </w:t>
      </w:r>
      <w:proofErr w:type="spellStart"/>
      <w:r>
        <w:rPr>
          <w:rStyle w:val="A7"/>
          <w:i w:val="0"/>
          <w:iCs w:val="0"/>
        </w:rPr>
        <w:t>видеолапароскопии</w:t>
      </w:r>
      <w:proofErr w:type="spellEnd"/>
      <w:r>
        <w:rPr>
          <w:rStyle w:val="A7"/>
          <w:i w:val="0"/>
          <w:iCs w:val="0"/>
        </w:rPr>
        <w:t xml:space="preserve"> при КАТ составляет 96,1%, что минимизирует количество напрасных лапаротомий. </w:t>
      </w:r>
    </w:p>
    <w:p w:rsidR="00A70BB1" w:rsidRDefault="00A70BB1" w:rsidP="00A70BB1">
      <w:pPr>
        <w:jc w:val="both"/>
        <w:rPr>
          <w:rStyle w:val="A7"/>
        </w:rPr>
      </w:pPr>
      <w:r>
        <w:rPr>
          <w:rStyle w:val="A7"/>
          <w:b/>
          <w:bCs/>
        </w:rPr>
        <w:lastRenderedPageBreak/>
        <w:t xml:space="preserve">Ключевые слова: </w:t>
      </w:r>
      <w:r>
        <w:rPr>
          <w:rStyle w:val="A7"/>
        </w:rPr>
        <w:t xml:space="preserve">сочетанные </w:t>
      </w:r>
      <w:proofErr w:type="spellStart"/>
      <w:r>
        <w:rPr>
          <w:rStyle w:val="A7"/>
        </w:rPr>
        <w:t>кранио-абдоминальные</w:t>
      </w:r>
      <w:proofErr w:type="spellEnd"/>
      <w:r>
        <w:rPr>
          <w:rStyle w:val="A7"/>
        </w:rPr>
        <w:t xml:space="preserve"> травмы, инструментальные методы исследования, </w:t>
      </w:r>
      <w:proofErr w:type="spellStart"/>
      <w:r>
        <w:rPr>
          <w:rStyle w:val="A7"/>
        </w:rPr>
        <w:t>мультиспиральная</w:t>
      </w:r>
      <w:proofErr w:type="spellEnd"/>
      <w:r>
        <w:rPr>
          <w:rStyle w:val="A7"/>
        </w:rPr>
        <w:t xml:space="preserve"> компьютерная томография, </w:t>
      </w:r>
      <w:proofErr w:type="spellStart"/>
      <w:r>
        <w:rPr>
          <w:rStyle w:val="A7"/>
        </w:rPr>
        <w:t>видеолапароскопия</w:t>
      </w:r>
      <w:proofErr w:type="spellEnd"/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rPr>
          <w:rFonts w:ascii="Palatino Linotype" w:hAnsi="Palatino Linotype" w:cs="Palatino Linotype"/>
          <w:color w:val="000000"/>
        </w:rPr>
      </w:pPr>
      <w:r w:rsidRPr="00A70BB1">
        <w:rPr>
          <w:rFonts w:ascii="Palatino Linotype" w:hAnsi="Palatino Linotype" w:cs="Palatino Linotype"/>
          <w:b/>
          <w:bCs/>
          <w:i/>
          <w:iCs/>
          <w:color w:val="000000"/>
          <w:sz w:val="12"/>
        </w:rPr>
        <w:t>1,2</w:t>
      </w:r>
      <w:r w:rsidRPr="00A70BB1">
        <w:rPr>
          <w:rFonts w:ascii="Palatino Linotype" w:hAnsi="Palatino Linotype" w:cs="Palatino Linotype"/>
          <w:b/>
          <w:bCs/>
          <w:i/>
          <w:iCs/>
          <w:color w:val="000000"/>
        </w:rPr>
        <w:t>Наимов А.М., ³</w:t>
      </w:r>
      <w:proofErr w:type="spellStart"/>
      <w:r w:rsidRPr="00A70BB1">
        <w:rPr>
          <w:rFonts w:ascii="Palatino Linotype" w:hAnsi="Palatino Linotype" w:cs="Palatino Linotype"/>
          <w:b/>
          <w:bCs/>
          <w:i/>
          <w:iCs/>
          <w:color w:val="000000"/>
        </w:rPr>
        <w:t>Раззоков</w:t>
      </w:r>
      <w:proofErr w:type="spellEnd"/>
      <w:r w:rsidRPr="00A70BB1">
        <w:rPr>
          <w:rFonts w:ascii="Palatino Linotype" w:hAnsi="Palatino Linotype" w:cs="Palatino Linotype"/>
          <w:b/>
          <w:bCs/>
          <w:i/>
          <w:iCs/>
          <w:color w:val="000000"/>
        </w:rPr>
        <w:t xml:space="preserve"> А.А. </w:t>
      </w:r>
    </w:p>
    <w:p w:rsidR="00A70BB1" w:rsidRPr="00A70BB1" w:rsidRDefault="00A70BB1" w:rsidP="00A70BB1">
      <w:pPr>
        <w:autoSpaceDE w:val="0"/>
        <w:autoSpaceDN w:val="0"/>
        <w:adjustRightInd w:val="0"/>
        <w:spacing w:after="160" w:line="281" w:lineRule="atLeast"/>
        <w:jc w:val="center"/>
        <w:rPr>
          <w:rFonts w:ascii="Palatino Linotype" w:hAnsi="Palatino Linotype" w:cs="Palatino Linotype"/>
          <w:color w:val="000000"/>
          <w:sz w:val="28"/>
          <w:szCs w:val="28"/>
        </w:rPr>
      </w:pPr>
      <w:r w:rsidRPr="00A70BB1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 xml:space="preserve">ТАКТИКА ЛЕЧЕНИЯ ПЕРЕЛОМОВ ДЛИННЫХ КОСТЕЙ У БОЛЬНЫХ С СОЧЕТАННОЙ ТРАВМОЙ С УЧЕТОМ ИДЕНТИФИКАЦИИ СИНДРОМА ЖИРОВОЙ ЭМБОЛИИ </w:t>
      </w:r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jc w:val="both"/>
        <w:rPr>
          <w:rFonts w:ascii="Palatino Linotype" w:hAnsi="Palatino Linotype" w:cs="Palatino Linotype"/>
          <w:color w:val="000000"/>
        </w:rPr>
      </w:pPr>
      <w:r w:rsidRPr="00A70BB1">
        <w:rPr>
          <w:rFonts w:ascii="Palatino Linotype" w:hAnsi="Palatino Linotype" w:cs="Palatino Linotype"/>
          <w:color w:val="000000"/>
        </w:rPr>
        <w:t xml:space="preserve">¹ГУ «Таджикский институт профилактической медицины» </w:t>
      </w:r>
      <w:proofErr w:type="spellStart"/>
      <w:r w:rsidRPr="00A70BB1">
        <w:rPr>
          <w:rFonts w:ascii="Palatino Linotype" w:hAnsi="Palatino Linotype" w:cs="Palatino Linotype"/>
          <w:color w:val="000000"/>
        </w:rPr>
        <w:t>МЗиСЗН</w:t>
      </w:r>
      <w:proofErr w:type="spellEnd"/>
      <w:r w:rsidRPr="00A70BB1">
        <w:rPr>
          <w:rFonts w:ascii="Palatino Linotype" w:hAnsi="Palatino Linotype" w:cs="Palatino Linotype"/>
          <w:color w:val="000000"/>
        </w:rPr>
        <w:t xml:space="preserve"> РТ </w:t>
      </w:r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jc w:val="both"/>
        <w:rPr>
          <w:rFonts w:ascii="Palatino Linotype" w:hAnsi="Palatino Linotype" w:cs="Palatino Linotype"/>
          <w:color w:val="000000"/>
        </w:rPr>
      </w:pPr>
      <w:r w:rsidRPr="00A70BB1">
        <w:rPr>
          <w:rFonts w:ascii="Palatino Linotype" w:hAnsi="Palatino Linotype" w:cs="Palatino Linotype"/>
          <w:color w:val="000000"/>
        </w:rPr>
        <w:t xml:space="preserve">²ГУ «Национальный медицинский центр </w:t>
      </w:r>
      <w:proofErr w:type="spellStart"/>
      <w:r w:rsidRPr="00A70BB1">
        <w:rPr>
          <w:rFonts w:ascii="Palatino Linotype" w:hAnsi="Palatino Linotype" w:cs="Palatino Linotype"/>
          <w:color w:val="000000"/>
        </w:rPr>
        <w:t>Шифобахш</w:t>
      </w:r>
      <w:proofErr w:type="spellEnd"/>
      <w:r w:rsidRPr="00A70BB1">
        <w:rPr>
          <w:rFonts w:ascii="Palatino Linotype" w:hAnsi="Palatino Linotype" w:cs="Palatino Linotype"/>
          <w:color w:val="000000"/>
        </w:rPr>
        <w:t xml:space="preserve">» </w:t>
      </w:r>
    </w:p>
    <w:p w:rsidR="00A70BB1" w:rsidRDefault="00A70BB1" w:rsidP="00A70BB1">
      <w:pPr>
        <w:jc w:val="both"/>
        <w:rPr>
          <w:rFonts w:ascii="Palatino Linotype" w:hAnsi="Palatino Linotype" w:cs="Palatino Linotype"/>
          <w:color w:val="000000"/>
        </w:rPr>
      </w:pPr>
      <w:r w:rsidRPr="00A70BB1">
        <w:rPr>
          <w:rFonts w:ascii="Palatino Linotype" w:hAnsi="Palatino Linotype" w:cs="Palatino Linotype"/>
          <w:color w:val="000000"/>
        </w:rPr>
        <w:t xml:space="preserve">³Кафедра травматологии, ортопедии и военно-полевой хирургии ГОУ ТГМУ им. Абуали ибн </w:t>
      </w:r>
      <w:proofErr w:type="spellStart"/>
      <w:r w:rsidRPr="00A70BB1">
        <w:rPr>
          <w:rFonts w:ascii="Palatino Linotype" w:hAnsi="Palatino Linotype" w:cs="Palatino Linotype"/>
          <w:color w:val="000000"/>
        </w:rPr>
        <w:t>Сино</w:t>
      </w:r>
      <w:proofErr w:type="spellEnd"/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Цель исследования. </w:t>
      </w:r>
      <w:r>
        <w:rPr>
          <w:rStyle w:val="A7"/>
          <w:i w:val="0"/>
          <w:iCs w:val="0"/>
        </w:rPr>
        <w:t xml:space="preserve">Улучшение результатов лечения сочетанной травмы путем оптимизации тактики лечения нестабильных переломов на фоне синдрома жировой эмболии (СЖЭ). </w:t>
      </w:r>
    </w:p>
    <w:p w:rsidR="00A70BB1" w:rsidRDefault="00A70BB1" w:rsidP="00A70BB1">
      <w:pPr>
        <w:pStyle w:val="Pa2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Материал и методы. </w:t>
      </w:r>
      <w:r>
        <w:rPr>
          <w:rStyle w:val="A7"/>
          <w:i w:val="0"/>
          <w:iCs w:val="0"/>
        </w:rPr>
        <w:t xml:space="preserve">Работа основана на анализе данных о 250 больных с сочетанной травмой в возрасте от 18 до 60 лет, среди которых 174 (69,6%) – мужчины, 76 (30,4%) – женщин. </w:t>
      </w:r>
    </w:p>
    <w:p w:rsidR="00A70BB1" w:rsidRDefault="00A70BB1" w:rsidP="00A70BB1">
      <w:pPr>
        <w:pStyle w:val="Pa2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i w:val="0"/>
          <w:iCs w:val="0"/>
        </w:rPr>
        <w:t xml:space="preserve">В основной группе (n=128) лечение нестабильных переломов проводилось разработанными подходами, в контрольной группе (n=122) - традиционными подходами. </w:t>
      </w:r>
    </w:p>
    <w:p w:rsidR="00A70BB1" w:rsidRDefault="00A70BB1" w:rsidP="00A70BB1">
      <w:pPr>
        <w:pStyle w:val="Pa2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b/>
          <w:bCs/>
          <w:i w:val="0"/>
          <w:iCs w:val="0"/>
          <w:sz w:val="17"/>
          <w:szCs w:val="17"/>
        </w:rPr>
        <w:t xml:space="preserve">Результаты. </w:t>
      </w:r>
      <w:r>
        <w:rPr>
          <w:rStyle w:val="A7"/>
          <w:i w:val="0"/>
          <w:iCs w:val="0"/>
          <w:sz w:val="17"/>
          <w:szCs w:val="17"/>
        </w:rPr>
        <w:t>В основной группе на фоне специфической медикаментозной терапии СЖЭ прибегали к раннему (55,1%) и отсроченному (32,1%) остеосинтезу нестабильных переломов. В контрольной группе эти показатели соответ</w:t>
      </w:r>
      <w:r>
        <w:rPr>
          <w:rStyle w:val="A7"/>
          <w:i w:val="0"/>
          <w:iCs w:val="0"/>
          <w:sz w:val="17"/>
          <w:szCs w:val="17"/>
        </w:rPr>
        <w:softHyphen/>
        <w:t xml:space="preserve">ственно составили 39,0% и 1,9%. В основной группе реализации данной тактики предложенных подходов способствовала снижению удельного веса клинических форм СЖЭ (37,5%), по сравнению с контрольной группой (63,16%), а также увеличению удельного веса хороших (43,7%) и снижению неудовлетворительных (8,6%) результатов и летальности (8,6%). В контрольной группе преобладали удовлетворительные (36,0%) и неудовлетворительные результаты (15,6%), а также летальные исходы (16,4%).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b/>
          <w:bCs/>
          <w:i w:val="0"/>
          <w:iCs w:val="0"/>
          <w:sz w:val="17"/>
          <w:szCs w:val="17"/>
        </w:rPr>
        <w:t xml:space="preserve">Заключение. </w:t>
      </w:r>
      <w:r>
        <w:rPr>
          <w:rStyle w:val="A7"/>
          <w:i w:val="0"/>
          <w:iCs w:val="0"/>
          <w:sz w:val="17"/>
          <w:szCs w:val="17"/>
        </w:rPr>
        <w:t>Результаты работы не подтверждали гипотезу о роли ранней оперативной и консервативной репозиции нестабильных переломов в развитии СЖЭ и летальности при сочетанной травме. Ранняя и отсро</w:t>
      </w:r>
      <w:r>
        <w:rPr>
          <w:rStyle w:val="A7"/>
          <w:i w:val="0"/>
          <w:iCs w:val="0"/>
          <w:sz w:val="17"/>
          <w:szCs w:val="17"/>
        </w:rPr>
        <w:softHyphen/>
        <w:t xml:space="preserve">ченная оперативная или консервативная стабилизация нестабильных переломов по показаниям до развития СЖЭ является эффективным путем профилактики или минимизации проявлений СЖЭ в остром периоде сочетанной травмы. </w:t>
      </w:r>
    </w:p>
    <w:p w:rsidR="00A70BB1" w:rsidRDefault="00A70BB1" w:rsidP="00A70BB1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 xml:space="preserve">сочетанная травма, синдром жировой эмболии, жировая </w:t>
      </w:r>
      <w:proofErr w:type="spellStart"/>
      <w:r>
        <w:rPr>
          <w:rStyle w:val="A7"/>
        </w:rPr>
        <w:t>глобулемия</w:t>
      </w:r>
      <w:proofErr w:type="spellEnd"/>
      <w:r>
        <w:rPr>
          <w:rStyle w:val="A7"/>
        </w:rPr>
        <w:t>, остеосинтез нестабильных переломов, тактика лечения переломов</w:t>
      </w:r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proofErr w:type="spellStart"/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>Рабоева</w:t>
      </w:r>
      <w:proofErr w:type="spellEnd"/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 xml:space="preserve"> Ш.Р., Ганиева М.Т., </w:t>
      </w:r>
      <w:proofErr w:type="spellStart"/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>Исокова</w:t>
      </w:r>
      <w:proofErr w:type="spellEnd"/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 xml:space="preserve"> М.Дж., </w:t>
      </w:r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proofErr w:type="spellStart"/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>Давлатмирова</w:t>
      </w:r>
      <w:proofErr w:type="spellEnd"/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 xml:space="preserve"> Г.Ш., </w:t>
      </w:r>
      <w:proofErr w:type="spellStart"/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>Шарофиддинов</w:t>
      </w:r>
      <w:proofErr w:type="spellEnd"/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 xml:space="preserve"> И.А. </w:t>
      </w:r>
    </w:p>
    <w:p w:rsidR="00A70BB1" w:rsidRPr="00A70BB1" w:rsidRDefault="00A70BB1" w:rsidP="00A70BB1">
      <w:pPr>
        <w:autoSpaceDE w:val="0"/>
        <w:autoSpaceDN w:val="0"/>
        <w:adjustRightInd w:val="0"/>
        <w:spacing w:after="16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0B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КЛИНИЧЕСКАЯ ХАРАКТЕРИСТИКА МИКРОЦЕФАЛИИ </w:t>
      </w:r>
    </w:p>
    <w:p w:rsidR="00A70BB1" w:rsidRDefault="00A70BB1" w:rsidP="00A70BB1">
      <w:pPr>
        <w:jc w:val="both"/>
        <w:rPr>
          <w:rFonts w:ascii="Times New Roman" w:hAnsi="Times New Roman" w:cs="Times New Roman"/>
          <w:color w:val="000000"/>
        </w:rPr>
      </w:pPr>
      <w:r w:rsidRPr="00A70BB1">
        <w:rPr>
          <w:rFonts w:ascii="Times New Roman" w:hAnsi="Times New Roman" w:cs="Times New Roman"/>
          <w:color w:val="000000"/>
        </w:rPr>
        <w:t xml:space="preserve">Кафедра неврологии и основ медицинской генетики ГОУ ТГМУ им. Абуали ибн </w:t>
      </w:r>
      <w:proofErr w:type="spellStart"/>
      <w:r w:rsidRPr="00A70BB1">
        <w:rPr>
          <w:rFonts w:ascii="Times New Roman" w:hAnsi="Times New Roman" w:cs="Times New Roman"/>
          <w:color w:val="000000"/>
        </w:rPr>
        <w:t>Сино</w:t>
      </w:r>
      <w:proofErr w:type="spellEnd"/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Цель исследования. </w:t>
      </w:r>
      <w:r>
        <w:rPr>
          <w:rStyle w:val="A7"/>
          <w:i w:val="0"/>
          <w:iCs w:val="0"/>
        </w:rPr>
        <w:t>Сравнить клиническую характеристику микроцефалии в зависимости от этиоло</w:t>
      </w:r>
      <w:r>
        <w:rPr>
          <w:rStyle w:val="A7"/>
          <w:i w:val="0"/>
          <w:iCs w:val="0"/>
        </w:rPr>
        <w:softHyphen/>
        <w:t xml:space="preserve">гических особенностей.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Материал и методы. </w:t>
      </w:r>
      <w:r>
        <w:rPr>
          <w:rStyle w:val="A7"/>
          <w:i w:val="0"/>
          <w:iCs w:val="0"/>
        </w:rPr>
        <w:t xml:space="preserve">В </w:t>
      </w:r>
      <w:proofErr w:type="spellStart"/>
      <w:r>
        <w:rPr>
          <w:rStyle w:val="A7"/>
          <w:i w:val="0"/>
          <w:iCs w:val="0"/>
        </w:rPr>
        <w:t>проспективное</w:t>
      </w:r>
      <w:proofErr w:type="spellEnd"/>
      <w:r>
        <w:rPr>
          <w:rStyle w:val="A7"/>
          <w:i w:val="0"/>
          <w:iCs w:val="0"/>
        </w:rPr>
        <w:t xml:space="preserve"> исследование включены 46 детей с диагнозом «Микроцефалия». Больные по этиологическим факторам были распределены на две группы: 1-я </w:t>
      </w:r>
      <w:proofErr w:type="gramStart"/>
      <w:r>
        <w:rPr>
          <w:rStyle w:val="A7"/>
          <w:i w:val="0"/>
          <w:iCs w:val="0"/>
        </w:rPr>
        <w:t>основная</w:t>
      </w:r>
      <w:proofErr w:type="gramEnd"/>
      <w:r>
        <w:rPr>
          <w:rStyle w:val="A7"/>
          <w:i w:val="0"/>
          <w:iCs w:val="0"/>
        </w:rPr>
        <w:t xml:space="preserve"> (17 больных из 7-и семей) - больные с истинной наследственной семейной микроцефалией, 2 (29 больных) - больные с </w:t>
      </w:r>
      <w:proofErr w:type="spellStart"/>
      <w:r>
        <w:rPr>
          <w:rStyle w:val="A7"/>
          <w:i w:val="0"/>
          <w:iCs w:val="0"/>
        </w:rPr>
        <w:t>эмбриопатической</w:t>
      </w:r>
      <w:proofErr w:type="spellEnd"/>
      <w:r>
        <w:rPr>
          <w:rStyle w:val="A7"/>
          <w:i w:val="0"/>
          <w:iCs w:val="0"/>
        </w:rPr>
        <w:t xml:space="preserve"> и </w:t>
      </w:r>
      <w:proofErr w:type="spellStart"/>
      <w:r>
        <w:rPr>
          <w:rStyle w:val="A7"/>
          <w:i w:val="0"/>
          <w:iCs w:val="0"/>
        </w:rPr>
        <w:t>синдромологической</w:t>
      </w:r>
      <w:proofErr w:type="spellEnd"/>
      <w:r>
        <w:rPr>
          <w:rStyle w:val="A7"/>
          <w:i w:val="0"/>
          <w:iCs w:val="0"/>
        </w:rPr>
        <w:t xml:space="preserve"> микроцефалией.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i w:val="0"/>
          <w:iCs w:val="0"/>
        </w:rPr>
        <w:t xml:space="preserve">Методы исследования - анамнестические, клинико-инструментальные и лабораторные.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b/>
          <w:bCs/>
          <w:i w:val="0"/>
          <w:iCs w:val="0"/>
          <w:sz w:val="17"/>
          <w:szCs w:val="17"/>
        </w:rPr>
        <w:t xml:space="preserve">Результаты. </w:t>
      </w:r>
      <w:r>
        <w:rPr>
          <w:rStyle w:val="A7"/>
          <w:i w:val="0"/>
          <w:iCs w:val="0"/>
          <w:sz w:val="17"/>
          <w:szCs w:val="17"/>
        </w:rPr>
        <w:t>Во всех группах выявлены различной степени нарушения двигательной сферы, нарушения речи, интеллекта, расстройства концентрации внимания, судорожные припадки. Родителей больных ос</w:t>
      </w:r>
      <w:r>
        <w:rPr>
          <w:rStyle w:val="A7"/>
          <w:i w:val="0"/>
          <w:iCs w:val="0"/>
          <w:sz w:val="17"/>
          <w:szCs w:val="17"/>
        </w:rPr>
        <w:softHyphen/>
        <w:t xml:space="preserve">новной группы состояли в родственном браке во втором и третьем поколениях; в двух семьях из пятерых детей трое страдали микроцефалией. При вторичной микроцефалии в анамнезе у больных отмечалась внутриутробная инфекция, тяжелая перинатальная и </w:t>
      </w:r>
      <w:proofErr w:type="spellStart"/>
      <w:r>
        <w:rPr>
          <w:rStyle w:val="A7"/>
          <w:i w:val="0"/>
          <w:iCs w:val="0"/>
          <w:sz w:val="17"/>
          <w:szCs w:val="17"/>
        </w:rPr>
        <w:t>интранаталная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асфиксия, имелись хромосомные аберрации. При вторичных формах микроцефалии проявлялись грубые когнитивные нарушения, двига</w:t>
      </w:r>
      <w:r>
        <w:rPr>
          <w:rStyle w:val="A7"/>
          <w:i w:val="0"/>
          <w:iCs w:val="0"/>
          <w:sz w:val="17"/>
          <w:szCs w:val="17"/>
        </w:rPr>
        <w:softHyphen/>
        <w:t xml:space="preserve">тельные расстройства и стигмы.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Заключение. </w:t>
      </w:r>
      <w:r>
        <w:rPr>
          <w:rStyle w:val="A7"/>
          <w:i w:val="0"/>
          <w:iCs w:val="0"/>
        </w:rPr>
        <w:t xml:space="preserve">На основании проведенного исследования были выявлены различия клинического течения истинных и вторичных микроцефалий. </w:t>
      </w:r>
    </w:p>
    <w:p w:rsidR="00A70BB1" w:rsidRDefault="00A70BB1" w:rsidP="00A70BB1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>истинная семейная микроцефалия, близкородственный брак, когнитивные расстройства, спа</w:t>
      </w:r>
      <w:r>
        <w:rPr>
          <w:rStyle w:val="A7"/>
        </w:rPr>
        <w:softHyphen/>
        <w:t xml:space="preserve">стические парезы, стигмы, </w:t>
      </w:r>
      <w:proofErr w:type="spellStart"/>
      <w:r>
        <w:rPr>
          <w:rStyle w:val="A7"/>
        </w:rPr>
        <w:t>нейровизуализация</w:t>
      </w:r>
      <w:proofErr w:type="spellEnd"/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A70BB1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 xml:space="preserve">Раджабзода С.Р., </w:t>
      </w:r>
      <w:r w:rsidRPr="00A70BB1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2</w:t>
      </w:r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 xml:space="preserve">Джонова Б.Ю., </w:t>
      </w:r>
      <w:r w:rsidRPr="00A70BB1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3</w:t>
      </w:r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 xml:space="preserve">Дустов Дж.Х., </w:t>
      </w:r>
      <w:r w:rsidRPr="00A70BB1">
        <w:rPr>
          <w:rFonts w:ascii="Times New Roman" w:hAnsi="Times New Roman" w:cs="Times New Roman"/>
          <w:b/>
          <w:bCs/>
          <w:i/>
          <w:iCs/>
          <w:color w:val="000000"/>
          <w:sz w:val="12"/>
        </w:rPr>
        <w:t>1</w:t>
      </w:r>
      <w:r w:rsidRPr="00A70BB1">
        <w:rPr>
          <w:rFonts w:ascii="Times New Roman" w:hAnsi="Times New Roman" w:cs="Times New Roman"/>
          <w:b/>
          <w:bCs/>
          <w:i/>
          <w:iCs/>
          <w:color w:val="000000"/>
        </w:rPr>
        <w:t xml:space="preserve">Умаров Т.А. </w:t>
      </w:r>
    </w:p>
    <w:p w:rsidR="00A70BB1" w:rsidRPr="00A70BB1" w:rsidRDefault="00A70BB1" w:rsidP="00A70BB1">
      <w:pPr>
        <w:autoSpaceDE w:val="0"/>
        <w:autoSpaceDN w:val="0"/>
        <w:adjustRightInd w:val="0"/>
        <w:spacing w:after="160" w:line="28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0BB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ОЦЕНКА ОБЕСПЕЧЕННОСТИ СЕТИ УЧРЕЖДЕНИЙ ПЕРВИЧНОЙ МЕДИКО-САНИТАРНОЙ ПОМОЩИ РЕСПУБЛИКИ ТАДЖИКИСТАН СЕМЕЙНЫМИ ВРАЧАМИ </w:t>
      </w:r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A70BB1">
        <w:rPr>
          <w:rFonts w:ascii="Times New Roman" w:hAnsi="Times New Roman" w:cs="Times New Roman"/>
          <w:color w:val="000000"/>
          <w:sz w:val="12"/>
        </w:rPr>
        <w:t>1</w:t>
      </w:r>
      <w:r w:rsidRPr="00A70BB1">
        <w:rPr>
          <w:rFonts w:ascii="Times New Roman" w:hAnsi="Times New Roman" w:cs="Times New Roman"/>
          <w:color w:val="000000"/>
        </w:rPr>
        <w:t xml:space="preserve">ГОУ ТГМУ им. Абуали ибн </w:t>
      </w:r>
      <w:proofErr w:type="spellStart"/>
      <w:r w:rsidRPr="00A70BB1">
        <w:rPr>
          <w:rFonts w:ascii="Times New Roman" w:hAnsi="Times New Roman" w:cs="Times New Roman"/>
          <w:color w:val="000000"/>
        </w:rPr>
        <w:t>Сино</w:t>
      </w:r>
      <w:proofErr w:type="spellEnd"/>
      <w:r w:rsidRPr="00A70BB1">
        <w:rPr>
          <w:rFonts w:ascii="Times New Roman" w:hAnsi="Times New Roman" w:cs="Times New Roman"/>
          <w:color w:val="000000"/>
        </w:rPr>
        <w:t xml:space="preserve"> </w:t>
      </w:r>
    </w:p>
    <w:p w:rsidR="00A70BB1" w:rsidRPr="00A70BB1" w:rsidRDefault="00A70BB1" w:rsidP="00A70BB1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</w:rPr>
      </w:pPr>
      <w:r w:rsidRPr="00A70BB1">
        <w:rPr>
          <w:rFonts w:ascii="Times New Roman" w:hAnsi="Times New Roman" w:cs="Times New Roman"/>
          <w:color w:val="000000"/>
          <w:sz w:val="12"/>
        </w:rPr>
        <w:t>2</w:t>
      </w:r>
      <w:r w:rsidRPr="00A70BB1">
        <w:rPr>
          <w:rFonts w:ascii="Times New Roman" w:hAnsi="Times New Roman" w:cs="Times New Roman"/>
          <w:color w:val="000000"/>
        </w:rPr>
        <w:t xml:space="preserve">ГУ «Республиканский учебно-клинический центр семейной медицины» </w:t>
      </w:r>
    </w:p>
    <w:p w:rsidR="00A70BB1" w:rsidRDefault="00A70BB1" w:rsidP="00A70BB1">
      <w:pPr>
        <w:jc w:val="both"/>
        <w:rPr>
          <w:rFonts w:ascii="Times New Roman" w:hAnsi="Times New Roman" w:cs="Times New Roman"/>
          <w:color w:val="000000"/>
        </w:rPr>
      </w:pPr>
      <w:r w:rsidRPr="00A70BB1">
        <w:rPr>
          <w:rFonts w:ascii="Times New Roman" w:hAnsi="Times New Roman" w:cs="Times New Roman"/>
          <w:color w:val="000000"/>
          <w:sz w:val="12"/>
        </w:rPr>
        <w:t>3</w:t>
      </w:r>
      <w:r w:rsidRPr="00A70BB1">
        <w:rPr>
          <w:rFonts w:ascii="Times New Roman" w:hAnsi="Times New Roman" w:cs="Times New Roman"/>
          <w:color w:val="000000"/>
        </w:rPr>
        <w:t>ГОУ «</w:t>
      </w:r>
      <w:proofErr w:type="spellStart"/>
      <w:r w:rsidRPr="00A70BB1">
        <w:rPr>
          <w:rFonts w:ascii="Times New Roman" w:hAnsi="Times New Roman" w:cs="Times New Roman"/>
          <w:color w:val="000000"/>
        </w:rPr>
        <w:t>Вахдатский</w:t>
      </w:r>
      <w:proofErr w:type="spellEnd"/>
      <w:r w:rsidRPr="00A70BB1">
        <w:rPr>
          <w:rFonts w:ascii="Times New Roman" w:hAnsi="Times New Roman" w:cs="Times New Roman"/>
          <w:color w:val="000000"/>
        </w:rPr>
        <w:t xml:space="preserve"> медицинский колледж»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Цель исследования. </w:t>
      </w:r>
      <w:r>
        <w:rPr>
          <w:rStyle w:val="A7"/>
          <w:i w:val="0"/>
          <w:iCs w:val="0"/>
        </w:rPr>
        <w:t xml:space="preserve">Оценить обеспеченность сети учреждений первичной медико-санитарной помощи Республики Таджикистан семейными врачами.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Материал и методы. </w:t>
      </w:r>
      <w:r>
        <w:rPr>
          <w:rStyle w:val="A7"/>
          <w:i w:val="0"/>
          <w:iCs w:val="0"/>
        </w:rPr>
        <w:t>Для проведения исследования были изучены и проанализированы данные офици</w:t>
      </w:r>
      <w:r>
        <w:rPr>
          <w:rStyle w:val="A7"/>
          <w:i w:val="0"/>
          <w:iCs w:val="0"/>
        </w:rPr>
        <w:softHyphen/>
        <w:t xml:space="preserve">альной </w:t>
      </w:r>
      <w:proofErr w:type="gramStart"/>
      <w:r>
        <w:rPr>
          <w:rStyle w:val="A7"/>
          <w:i w:val="0"/>
          <w:iCs w:val="0"/>
        </w:rPr>
        <w:t>статистики</w:t>
      </w:r>
      <w:proofErr w:type="gramEnd"/>
      <w:r>
        <w:rPr>
          <w:rStyle w:val="A7"/>
          <w:i w:val="0"/>
          <w:iCs w:val="0"/>
        </w:rPr>
        <w:t xml:space="preserve"> и другие источники за последние пять лет на английском, таджикском и русском языках, связанные с предоставлением медицинских услуг на уровне первичной медико-санитарной помощи (ПМСП) на основе семейной медицины.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Результаты. </w:t>
      </w:r>
      <w:r>
        <w:rPr>
          <w:rStyle w:val="A7"/>
          <w:i w:val="0"/>
          <w:iCs w:val="0"/>
        </w:rPr>
        <w:t>Обращаемость населения в учреждения ПМСП после внедрения института семейной ме</w:t>
      </w:r>
      <w:r>
        <w:rPr>
          <w:rStyle w:val="A7"/>
          <w:i w:val="0"/>
          <w:iCs w:val="0"/>
        </w:rPr>
        <w:softHyphen/>
        <w:t xml:space="preserve">дицины в стране на протяжении последних двух десятилетий несколько увеличилась - с 3,7 посещений на 1 человека в год в 2000 году до 4,5 посещений на 1 чело века в год в 2019 году.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i w:val="0"/>
          <w:iCs w:val="0"/>
          <w:sz w:val="17"/>
          <w:szCs w:val="17"/>
        </w:rPr>
        <w:t>За 2015 и 2019 годы отмечается снижение количества семейных врачей на 61 человека, в то время как население страны увеличилось за данный период на 669 тысяч, соответственно потребность в семейных врачах увеличилась на 446 человек. В настоящее время по стране в пересчёте на общее количество населе</w:t>
      </w:r>
      <w:r>
        <w:rPr>
          <w:rStyle w:val="A7"/>
          <w:i w:val="0"/>
          <w:iCs w:val="0"/>
          <w:sz w:val="17"/>
          <w:szCs w:val="17"/>
        </w:rPr>
        <w:softHyphen/>
        <w:t xml:space="preserve">ния (за 2019 год) потребность в семейных врачах составляет более 6 147 человек при 2 403 семейных врачах, практикующих на уровне сети учреждений ПМСП.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Заключение. </w:t>
      </w:r>
      <w:r>
        <w:rPr>
          <w:rStyle w:val="A7"/>
          <w:i w:val="0"/>
          <w:iCs w:val="0"/>
        </w:rPr>
        <w:t xml:space="preserve">Для дальнейшего эффективного внедрения института семейной медицины в стране, оказания доступных и качественных услуг населению необходимо усилить политику обеспечения семейными врачами сеть учреждений ПМСП. </w:t>
      </w:r>
    </w:p>
    <w:p w:rsidR="00A70BB1" w:rsidRDefault="00A70BB1" w:rsidP="00A70BB1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>первичная медико-санитарная помощь, семейный врач, обеспеченность</w:t>
      </w:r>
    </w:p>
    <w:p w:rsidR="00A70BB1" w:rsidRDefault="00A70BB1" w:rsidP="00A70BB1">
      <w:pPr>
        <w:pStyle w:val="Pa21"/>
        <w:rPr>
          <w:rFonts w:cs="Palatino Linotype"/>
          <w:color w:val="000000"/>
          <w:sz w:val="22"/>
          <w:szCs w:val="22"/>
        </w:rPr>
      </w:pPr>
      <w:r>
        <w:rPr>
          <w:rStyle w:val="A10"/>
          <w:b/>
          <w:bCs/>
          <w:i/>
          <w:iCs/>
        </w:rPr>
        <w:t>1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Хомидов М.Ф., </w:t>
      </w:r>
      <w:r>
        <w:rPr>
          <w:rStyle w:val="A10"/>
          <w:b/>
          <w:bCs/>
          <w:i/>
          <w:iCs/>
        </w:rPr>
        <w:t>2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Муниева С.Х., </w:t>
      </w:r>
      <w:r>
        <w:rPr>
          <w:rStyle w:val="A10"/>
          <w:b/>
          <w:bCs/>
          <w:i/>
          <w:iCs/>
        </w:rPr>
        <w:t>2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Салимов Б.М., </w:t>
      </w:r>
      <w:r>
        <w:rPr>
          <w:rStyle w:val="A10"/>
          <w:b/>
          <w:bCs/>
          <w:i/>
          <w:iCs/>
        </w:rPr>
        <w:t>3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Ситдикова Л.Х. </w:t>
      </w:r>
    </w:p>
    <w:p w:rsidR="00A70BB1" w:rsidRDefault="00A70BB1" w:rsidP="00A70BB1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ЭФФЕКТИВНОСТЬ ТАКРОЛИМУСА В ЛЕЧЕНИИ ВИТИЛИГО </w:t>
      </w:r>
    </w:p>
    <w:p w:rsidR="00A70BB1" w:rsidRDefault="00A70BB1" w:rsidP="00A70BB1">
      <w:pPr>
        <w:pStyle w:val="Pa1"/>
        <w:jc w:val="both"/>
        <w:rPr>
          <w:rFonts w:cs="Palatino Linotype"/>
          <w:color w:val="000000"/>
          <w:sz w:val="22"/>
          <w:szCs w:val="22"/>
        </w:rPr>
      </w:pPr>
      <w:r>
        <w:rPr>
          <w:rStyle w:val="A10"/>
        </w:rPr>
        <w:t>1</w:t>
      </w:r>
      <w:r>
        <w:rPr>
          <w:rFonts w:cs="Palatino Linotype"/>
          <w:color w:val="000000"/>
          <w:sz w:val="22"/>
          <w:szCs w:val="22"/>
        </w:rPr>
        <w:t xml:space="preserve">Ассоциация </w:t>
      </w:r>
      <w:proofErr w:type="spellStart"/>
      <w:r>
        <w:rPr>
          <w:rFonts w:cs="Palatino Linotype"/>
          <w:color w:val="000000"/>
          <w:sz w:val="22"/>
          <w:szCs w:val="22"/>
        </w:rPr>
        <w:t>дерматовенерологов</w:t>
      </w:r>
      <w:proofErr w:type="spellEnd"/>
      <w:r>
        <w:rPr>
          <w:rFonts w:cs="Palatino Linotype"/>
          <w:color w:val="000000"/>
          <w:sz w:val="22"/>
          <w:szCs w:val="22"/>
        </w:rPr>
        <w:t xml:space="preserve"> и косметологов Республики Таджикистан </w:t>
      </w:r>
    </w:p>
    <w:p w:rsidR="00A70BB1" w:rsidRDefault="00A70BB1" w:rsidP="00A70BB1">
      <w:pPr>
        <w:pStyle w:val="Pa1"/>
        <w:jc w:val="both"/>
        <w:rPr>
          <w:rFonts w:cs="Palatino Linotype"/>
          <w:color w:val="000000"/>
          <w:sz w:val="22"/>
          <w:szCs w:val="22"/>
        </w:rPr>
      </w:pPr>
      <w:r>
        <w:rPr>
          <w:rStyle w:val="A10"/>
        </w:rPr>
        <w:t>2</w:t>
      </w:r>
      <w:r>
        <w:rPr>
          <w:rFonts w:cs="Palatino Linotype"/>
          <w:color w:val="000000"/>
          <w:sz w:val="22"/>
          <w:szCs w:val="22"/>
        </w:rPr>
        <w:t xml:space="preserve">Кафедра дерматовенерологии с курсом косметологии ГОУ </w:t>
      </w:r>
      <w:proofErr w:type="spellStart"/>
      <w:r>
        <w:rPr>
          <w:rFonts w:cs="Palatino Linotype"/>
          <w:color w:val="000000"/>
          <w:sz w:val="22"/>
          <w:szCs w:val="22"/>
        </w:rPr>
        <w:t>ИПОвСЗ</w:t>
      </w:r>
      <w:proofErr w:type="spellEnd"/>
      <w:r>
        <w:rPr>
          <w:rFonts w:cs="Palatino Linotype"/>
          <w:color w:val="000000"/>
          <w:sz w:val="22"/>
          <w:szCs w:val="22"/>
        </w:rPr>
        <w:t xml:space="preserve"> РТ </w:t>
      </w:r>
    </w:p>
    <w:p w:rsidR="00A70BB1" w:rsidRDefault="00A70BB1" w:rsidP="00A70BB1">
      <w:pPr>
        <w:jc w:val="both"/>
        <w:rPr>
          <w:rFonts w:cs="Palatino Linotype"/>
          <w:color w:val="000000"/>
        </w:rPr>
      </w:pPr>
      <w:r>
        <w:rPr>
          <w:rStyle w:val="A10"/>
        </w:rPr>
        <w:t>3</w:t>
      </w:r>
      <w:r>
        <w:rPr>
          <w:rFonts w:cs="Palatino Linotype"/>
          <w:color w:val="000000"/>
        </w:rPr>
        <w:t>Клиническая больница «</w:t>
      </w:r>
      <w:proofErr w:type="spellStart"/>
      <w:r>
        <w:rPr>
          <w:rFonts w:cs="Palatino Linotype"/>
          <w:color w:val="000000"/>
        </w:rPr>
        <w:t>Мадади</w:t>
      </w:r>
      <w:proofErr w:type="spellEnd"/>
      <w:r>
        <w:rPr>
          <w:rFonts w:cs="Palatino Linotype"/>
          <w:color w:val="000000"/>
        </w:rPr>
        <w:t xml:space="preserve"> Акбар»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Цель исследования. </w:t>
      </w:r>
      <w:r>
        <w:rPr>
          <w:rStyle w:val="A7"/>
          <w:i w:val="0"/>
          <w:iCs w:val="0"/>
        </w:rPr>
        <w:t xml:space="preserve">Оценка эффективности местного применения </w:t>
      </w:r>
      <w:proofErr w:type="spellStart"/>
      <w:r>
        <w:rPr>
          <w:rStyle w:val="A7"/>
          <w:i w:val="0"/>
          <w:iCs w:val="0"/>
        </w:rPr>
        <w:t>такролимуса</w:t>
      </w:r>
      <w:proofErr w:type="spellEnd"/>
      <w:r>
        <w:rPr>
          <w:rStyle w:val="A7"/>
          <w:i w:val="0"/>
          <w:iCs w:val="0"/>
        </w:rPr>
        <w:t xml:space="preserve"> в комплексном лечении витилиго.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Материал и методы. </w:t>
      </w:r>
      <w:proofErr w:type="gramStart"/>
      <w:r>
        <w:rPr>
          <w:rStyle w:val="A7"/>
          <w:i w:val="0"/>
          <w:iCs w:val="0"/>
        </w:rPr>
        <w:t>Обследовано 70 больных витилиго (40 – в основной группе, 30 – в контрольной) в воз</w:t>
      </w:r>
      <w:r>
        <w:rPr>
          <w:rStyle w:val="A7"/>
          <w:i w:val="0"/>
          <w:iCs w:val="0"/>
        </w:rPr>
        <w:softHyphen/>
        <w:t>расте от 18 до 35 лет.</w:t>
      </w:r>
      <w:proofErr w:type="gramEnd"/>
      <w:r>
        <w:rPr>
          <w:rStyle w:val="A7"/>
          <w:i w:val="0"/>
          <w:iCs w:val="0"/>
        </w:rPr>
        <w:t xml:space="preserve"> Применяли комплексную традиционную терапию в сочетании с местным применением </w:t>
      </w:r>
      <w:proofErr w:type="spellStart"/>
      <w:r>
        <w:rPr>
          <w:rStyle w:val="A7"/>
          <w:i w:val="0"/>
          <w:iCs w:val="0"/>
        </w:rPr>
        <w:t>такролимуса</w:t>
      </w:r>
      <w:proofErr w:type="spellEnd"/>
      <w:r>
        <w:rPr>
          <w:rStyle w:val="A7"/>
          <w:i w:val="0"/>
          <w:iCs w:val="0"/>
        </w:rPr>
        <w:t xml:space="preserve"> 0,1%. В контрольной группе использовали комплексную традиционную терапию, включающую местное применение топического кортикостероида (гидрокортизона бутират)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i w:val="0"/>
          <w:iCs w:val="0"/>
        </w:rPr>
        <w:t xml:space="preserve">Оценку эффективности терапии проводили на основании двух методик: индекса VIMAN и подсчета индекса </w:t>
      </w:r>
      <w:proofErr w:type="spellStart"/>
      <w:r>
        <w:rPr>
          <w:rStyle w:val="A7"/>
          <w:i w:val="0"/>
          <w:iCs w:val="0"/>
        </w:rPr>
        <w:t>репигментации</w:t>
      </w:r>
      <w:proofErr w:type="spellEnd"/>
      <w:r>
        <w:rPr>
          <w:rStyle w:val="A7"/>
          <w:i w:val="0"/>
          <w:iCs w:val="0"/>
        </w:rPr>
        <w:t xml:space="preserve">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Результаты. </w:t>
      </w:r>
      <w:r>
        <w:rPr>
          <w:rStyle w:val="A7"/>
          <w:i w:val="0"/>
          <w:iCs w:val="0"/>
        </w:rPr>
        <w:t xml:space="preserve">После окончания лечения </w:t>
      </w:r>
      <w:proofErr w:type="gramStart"/>
      <w:r>
        <w:rPr>
          <w:rStyle w:val="A7"/>
          <w:i w:val="0"/>
          <w:iCs w:val="0"/>
        </w:rPr>
        <w:t>полная</w:t>
      </w:r>
      <w:proofErr w:type="gramEnd"/>
      <w:r>
        <w:rPr>
          <w:rStyle w:val="A7"/>
          <w:i w:val="0"/>
          <w:iCs w:val="0"/>
        </w:rPr>
        <w:t xml:space="preserve"> </w:t>
      </w:r>
      <w:proofErr w:type="spellStart"/>
      <w:r>
        <w:rPr>
          <w:rStyle w:val="A7"/>
          <w:i w:val="0"/>
          <w:iCs w:val="0"/>
        </w:rPr>
        <w:t>репигментация</w:t>
      </w:r>
      <w:proofErr w:type="spellEnd"/>
      <w:r>
        <w:rPr>
          <w:rStyle w:val="A7"/>
          <w:i w:val="0"/>
          <w:iCs w:val="0"/>
        </w:rPr>
        <w:t xml:space="preserve"> наблюдалась у 16 (40%) больных основной группы, без эффекта в контрольной группе. В контрольной группе у 12 (40%) больных применение топического кортикостероида привело к достижению выраженной и умеренной </w:t>
      </w:r>
      <w:proofErr w:type="spellStart"/>
      <w:r>
        <w:rPr>
          <w:rStyle w:val="A7"/>
          <w:i w:val="0"/>
          <w:iCs w:val="0"/>
        </w:rPr>
        <w:t>репигментации</w:t>
      </w:r>
      <w:proofErr w:type="spellEnd"/>
      <w:r>
        <w:rPr>
          <w:rStyle w:val="A7"/>
          <w:i w:val="0"/>
          <w:iCs w:val="0"/>
        </w:rPr>
        <w:t>. В основной группе отсутствие эффекта не наблюда</w:t>
      </w:r>
      <w:r>
        <w:rPr>
          <w:rStyle w:val="A7"/>
          <w:i w:val="0"/>
          <w:iCs w:val="0"/>
        </w:rPr>
        <w:softHyphen/>
        <w:t xml:space="preserve">лось ни в одном случае, в контрольной группе </w:t>
      </w:r>
      <w:proofErr w:type="spellStart"/>
      <w:r>
        <w:rPr>
          <w:rStyle w:val="A7"/>
          <w:i w:val="0"/>
          <w:iCs w:val="0"/>
        </w:rPr>
        <w:t>неудовлетвортельные</w:t>
      </w:r>
      <w:proofErr w:type="spellEnd"/>
      <w:r>
        <w:rPr>
          <w:rStyle w:val="A7"/>
          <w:i w:val="0"/>
          <w:iCs w:val="0"/>
        </w:rPr>
        <w:t xml:space="preserve"> результаты лечения отмечены у 2 (6,7%) больных. </w:t>
      </w:r>
    </w:p>
    <w:p w:rsidR="00A70BB1" w:rsidRDefault="00A70BB1" w:rsidP="00A70BB1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Заключение. </w:t>
      </w:r>
      <w:r>
        <w:rPr>
          <w:rStyle w:val="A7"/>
          <w:i w:val="0"/>
          <w:iCs w:val="0"/>
        </w:rPr>
        <w:t xml:space="preserve">Терапия витилиго с применением </w:t>
      </w:r>
      <w:proofErr w:type="spellStart"/>
      <w:r>
        <w:rPr>
          <w:rStyle w:val="A7"/>
          <w:i w:val="0"/>
          <w:iCs w:val="0"/>
        </w:rPr>
        <w:t>такролимуса</w:t>
      </w:r>
      <w:proofErr w:type="spellEnd"/>
      <w:r>
        <w:rPr>
          <w:rStyle w:val="A7"/>
          <w:i w:val="0"/>
          <w:iCs w:val="0"/>
        </w:rPr>
        <w:t xml:space="preserve"> 0,1% является клинически эффективным ме</w:t>
      </w:r>
      <w:r>
        <w:rPr>
          <w:rStyle w:val="A7"/>
          <w:i w:val="0"/>
          <w:iCs w:val="0"/>
        </w:rPr>
        <w:softHyphen/>
        <w:t xml:space="preserve">тодом, поскольку позволяет получить </w:t>
      </w:r>
      <w:proofErr w:type="gramStart"/>
      <w:r>
        <w:rPr>
          <w:rStyle w:val="A7"/>
          <w:i w:val="0"/>
          <w:iCs w:val="0"/>
        </w:rPr>
        <w:t>полную</w:t>
      </w:r>
      <w:proofErr w:type="gramEnd"/>
      <w:r>
        <w:rPr>
          <w:rStyle w:val="A7"/>
          <w:i w:val="0"/>
          <w:iCs w:val="0"/>
        </w:rPr>
        <w:t xml:space="preserve"> </w:t>
      </w:r>
      <w:proofErr w:type="spellStart"/>
      <w:r>
        <w:rPr>
          <w:rStyle w:val="A7"/>
          <w:i w:val="0"/>
          <w:iCs w:val="0"/>
        </w:rPr>
        <w:t>репигментацию</w:t>
      </w:r>
      <w:proofErr w:type="spellEnd"/>
      <w:r>
        <w:rPr>
          <w:rStyle w:val="A7"/>
          <w:i w:val="0"/>
          <w:iCs w:val="0"/>
        </w:rPr>
        <w:t xml:space="preserve"> в 82,5% случаев. </w:t>
      </w:r>
    </w:p>
    <w:p w:rsidR="00A70BB1" w:rsidRDefault="00A70BB1" w:rsidP="00A70BB1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 xml:space="preserve">витилиго, </w:t>
      </w:r>
      <w:proofErr w:type="spellStart"/>
      <w:r>
        <w:rPr>
          <w:rStyle w:val="A7"/>
        </w:rPr>
        <w:t>такролимус</w:t>
      </w:r>
      <w:proofErr w:type="spellEnd"/>
      <w:r>
        <w:rPr>
          <w:rStyle w:val="A7"/>
        </w:rPr>
        <w:t>, топические кортикостероиды</w:t>
      </w:r>
    </w:p>
    <w:p w:rsidR="00B505FF" w:rsidRDefault="00B505FF" w:rsidP="00B505FF">
      <w:pPr>
        <w:pStyle w:val="Pa21"/>
        <w:rPr>
          <w:rFonts w:cs="Palatino Linotype"/>
          <w:color w:val="000000"/>
          <w:sz w:val="22"/>
          <w:szCs w:val="22"/>
        </w:rPr>
      </w:pP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Хушвахтов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Д.Д., Мирзоев М.Ш.,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Хушвахтов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Д.И.,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Нарзулоев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В.А. </w:t>
      </w:r>
    </w:p>
    <w:p w:rsidR="00B505FF" w:rsidRDefault="00B505FF" w:rsidP="00B505FF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СПОСОБЫ ЛЕЧЕНИЯ БОЛЬНЫХ С ОСТРЫМИ ОДОНТОГЕННЫМИ ГНОЙНЫМИ ПЕРИОСТИТАМИ ЧЕЛЮСТЕЙ </w:t>
      </w:r>
    </w:p>
    <w:p w:rsidR="00A70BB1" w:rsidRDefault="00B505FF" w:rsidP="00B505FF">
      <w:pPr>
        <w:jc w:val="both"/>
        <w:rPr>
          <w:rFonts w:cs="Palatino Linotype"/>
          <w:color w:val="000000"/>
        </w:rPr>
      </w:pPr>
      <w:r>
        <w:rPr>
          <w:rFonts w:cs="Palatino Linotype"/>
          <w:color w:val="000000"/>
        </w:rPr>
        <w:t xml:space="preserve">Кафедра челюстно-лицевой хирургии с детской стоматологией ГОУ </w:t>
      </w:r>
      <w:proofErr w:type="spellStart"/>
      <w:r>
        <w:rPr>
          <w:rFonts w:cs="Palatino Linotype"/>
          <w:color w:val="000000"/>
        </w:rPr>
        <w:t>ИПОвСЗ</w:t>
      </w:r>
      <w:proofErr w:type="spellEnd"/>
      <w:r>
        <w:rPr>
          <w:rFonts w:cs="Palatino Linotype"/>
          <w:color w:val="000000"/>
        </w:rPr>
        <w:t xml:space="preserve"> РТ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lastRenderedPageBreak/>
        <w:t xml:space="preserve">Цель исследования. </w:t>
      </w:r>
      <w:r>
        <w:rPr>
          <w:rStyle w:val="A7"/>
          <w:i w:val="0"/>
          <w:iCs w:val="0"/>
        </w:rPr>
        <w:t xml:space="preserve">Совершенствование комплексного лечения острого </w:t>
      </w:r>
      <w:proofErr w:type="spellStart"/>
      <w:r>
        <w:rPr>
          <w:rStyle w:val="A7"/>
          <w:i w:val="0"/>
          <w:iCs w:val="0"/>
        </w:rPr>
        <w:t>одонтогенного</w:t>
      </w:r>
      <w:proofErr w:type="spellEnd"/>
      <w:r>
        <w:rPr>
          <w:rStyle w:val="A7"/>
          <w:i w:val="0"/>
          <w:iCs w:val="0"/>
        </w:rPr>
        <w:t xml:space="preserve"> гнойного периостита челюстей с использованием </w:t>
      </w:r>
      <w:proofErr w:type="spellStart"/>
      <w:r>
        <w:rPr>
          <w:rStyle w:val="A7"/>
          <w:i w:val="0"/>
          <w:iCs w:val="0"/>
        </w:rPr>
        <w:t>антимикробных</w:t>
      </w:r>
      <w:proofErr w:type="spellEnd"/>
      <w:r>
        <w:rPr>
          <w:rStyle w:val="A7"/>
          <w:i w:val="0"/>
          <w:iCs w:val="0"/>
        </w:rPr>
        <w:t xml:space="preserve"> сорбционных повязок «</w:t>
      </w:r>
      <w:proofErr w:type="spellStart"/>
      <w:r>
        <w:rPr>
          <w:rStyle w:val="A7"/>
          <w:i w:val="0"/>
          <w:iCs w:val="0"/>
        </w:rPr>
        <w:t>Vita</w:t>
      </w:r>
      <w:proofErr w:type="spellEnd"/>
      <w:r>
        <w:rPr>
          <w:rStyle w:val="A7"/>
          <w:i w:val="0"/>
          <w:iCs w:val="0"/>
        </w:rPr>
        <w:t xml:space="preserve"> </w:t>
      </w:r>
      <w:proofErr w:type="spellStart"/>
      <w:r>
        <w:rPr>
          <w:rStyle w:val="A7"/>
          <w:i w:val="0"/>
          <w:iCs w:val="0"/>
        </w:rPr>
        <w:t>Vallis</w:t>
      </w:r>
      <w:proofErr w:type="spellEnd"/>
      <w:r>
        <w:rPr>
          <w:rStyle w:val="A7"/>
          <w:i w:val="0"/>
          <w:iCs w:val="0"/>
        </w:rPr>
        <w:t xml:space="preserve">».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Материал и методы. </w:t>
      </w:r>
      <w:r>
        <w:rPr>
          <w:rStyle w:val="A7"/>
          <w:i w:val="0"/>
          <w:iCs w:val="0"/>
        </w:rPr>
        <w:t xml:space="preserve">В работе приведены результаты исследования 60 больных в возрасте от 18 до 60 лет – 39 мужчин (65%) и 21 женщины (35%) с острыми </w:t>
      </w:r>
      <w:proofErr w:type="spellStart"/>
      <w:r>
        <w:rPr>
          <w:rStyle w:val="A7"/>
          <w:i w:val="0"/>
          <w:iCs w:val="0"/>
        </w:rPr>
        <w:t>одонтогенными</w:t>
      </w:r>
      <w:proofErr w:type="spellEnd"/>
      <w:r>
        <w:rPr>
          <w:rStyle w:val="A7"/>
          <w:i w:val="0"/>
          <w:iCs w:val="0"/>
        </w:rPr>
        <w:t xml:space="preserve"> гнойными периоститами челюстей. Пациенты разделены на две клинические группы: основную - 28 (46,7%) и группу сравнения - 32 (53,3%) больных.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i w:val="0"/>
          <w:iCs w:val="0"/>
        </w:rPr>
        <w:t xml:space="preserve">После вскрытия гнойных очагов полости рта в качестве дренирующих систем были использованы </w:t>
      </w:r>
      <w:proofErr w:type="spellStart"/>
      <w:r>
        <w:rPr>
          <w:rStyle w:val="A7"/>
          <w:i w:val="0"/>
          <w:iCs w:val="0"/>
        </w:rPr>
        <w:t>антими</w:t>
      </w:r>
      <w:r>
        <w:rPr>
          <w:rStyle w:val="A7"/>
          <w:i w:val="0"/>
          <w:iCs w:val="0"/>
        </w:rPr>
        <w:softHyphen/>
        <w:t>кробные</w:t>
      </w:r>
      <w:proofErr w:type="spellEnd"/>
      <w:r>
        <w:rPr>
          <w:rStyle w:val="A7"/>
          <w:i w:val="0"/>
          <w:iCs w:val="0"/>
        </w:rPr>
        <w:t xml:space="preserve"> сорбционные стерильные раневые повязки «</w:t>
      </w:r>
      <w:proofErr w:type="spellStart"/>
      <w:r>
        <w:rPr>
          <w:rStyle w:val="A7"/>
          <w:i w:val="0"/>
          <w:iCs w:val="0"/>
        </w:rPr>
        <w:t>Vita</w:t>
      </w:r>
      <w:proofErr w:type="spellEnd"/>
      <w:r>
        <w:rPr>
          <w:rStyle w:val="A7"/>
          <w:i w:val="0"/>
          <w:iCs w:val="0"/>
        </w:rPr>
        <w:t xml:space="preserve"> </w:t>
      </w:r>
      <w:proofErr w:type="spellStart"/>
      <w:r>
        <w:rPr>
          <w:rStyle w:val="A7"/>
          <w:i w:val="0"/>
          <w:iCs w:val="0"/>
        </w:rPr>
        <w:t>Vallis</w:t>
      </w:r>
      <w:proofErr w:type="spellEnd"/>
      <w:r>
        <w:rPr>
          <w:rStyle w:val="A7"/>
          <w:i w:val="0"/>
          <w:iCs w:val="0"/>
        </w:rPr>
        <w:t xml:space="preserve">».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b/>
          <w:bCs/>
          <w:i w:val="0"/>
          <w:iCs w:val="0"/>
          <w:sz w:val="17"/>
          <w:szCs w:val="17"/>
        </w:rPr>
        <w:t xml:space="preserve">Результаты. </w:t>
      </w:r>
      <w:proofErr w:type="gramStart"/>
      <w:r>
        <w:rPr>
          <w:rStyle w:val="A7"/>
          <w:i w:val="0"/>
          <w:iCs w:val="0"/>
          <w:sz w:val="17"/>
          <w:szCs w:val="17"/>
        </w:rPr>
        <w:t xml:space="preserve">Результаты лечения больных оценивали по следующим параметрам: отсутствие жалоб, хорошее общее состояние, нормализация аппетита (2,0±0,15; 2,6±0,36 сутки), прекращение экссудации, исчезновение или уменьшение отека, рассасывание инфильтрата, грануляция и </w:t>
      </w:r>
      <w:proofErr w:type="spellStart"/>
      <w:r>
        <w:rPr>
          <w:rStyle w:val="A7"/>
          <w:i w:val="0"/>
          <w:iCs w:val="0"/>
          <w:sz w:val="17"/>
          <w:szCs w:val="17"/>
        </w:rPr>
        <w:t>эпителизация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ран (с 3,2±0,38 по 5,8±0,13 сутки), нормализация количества лейкоцитов и СОЭ (на 3,2±0,18 сутки), а также сроки пребывания больного на койке (в среднем 6,8±0,12 суток). </w:t>
      </w:r>
      <w:proofErr w:type="gramEnd"/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b/>
          <w:bCs/>
          <w:i w:val="0"/>
          <w:iCs w:val="0"/>
          <w:sz w:val="17"/>
          <w:szCs w:val="17"/>
        </w:rPr>
        <w:t xml:space="preserve">Заключение. </w:t>
      </w:r>
      <w:r>
        <w:rPr>
          <w:rStyle w:val="A7"/>
          <w:i w:val="0"/>
          <w:iCs w:val="0"/>
          <w:sz w:val="17"/>
          <w:szCs w:val="17"/>
        </w:rPr>
        <w:t xml:space="preserve">Использование </w:t>
      </w:r>
      <w:proofErr w:type="spellStart"/>
      <w:r>
        <w:rPr>
          <w:rStyle w:val="A7"/>
          <w:i w:val="0"/>
          <w:iCs w:val="0"/>
          <w:sz w:val="17"/>
          <w:szCs w:val="17"/>
        </w:rPr>
        <w:t>антимикробного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сорбционного перевязочного материала «</w:t>
      </w:r>
      <w:proofErr w:type="spellStart"/>
      <w:r>
        <w:rPr>
          <w:rStyle w:val="A7"/>
          <w:i w:val="0"/>
          <w:iCs w:val="0"/>
          <w:sz w:val="17"/>
          <w:szCs w:val="17"/>
        </w:rPr>
        <w:t>Vita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</w:t>
      </w:r>
      <w:proofErr w:type="spellStart"/>
      <w:r>
        <w:rPr>
          <w:rStyle w:val="A7"/>
          <w:i w:val="0"/>
          <w:iCs w:val="0"/>
          <w:sz w:val="17"/>
          <w:szCs w:val="17"/>
        </w:rPr>
        <w:t>Vallis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» при местном лечении гнойно-воспалительных процессов полости рта и челюстно-лицевой области способствует более быстрому улучшению общего состояния и купированию местных признаков гнойно-воспалительного процесса </w:t>
      </w:r>
      <w:proofErr w:type="gramStart"/>
      <w:r>
        <w:rPr>
          <w:rStyle w:val="A7"/>
          <w:i w:val="0"/>
          <w:iCs w:val="0"/>
          <w:sz w:val="17"/>
          <w:szCs w:val="17"/>
        </w:rPr>
        <w:t>к</w:t>
      </w:r>
      <w:proofErr w:type="gramEnd"/>
      <w:r>
        <w:rPr>
          <w:rStyle w:val="A7"/>
          <w:i w:val="0"/>
          <w:iCs w:val="0"/>
          <w:sz w:val="17"/>
          <w:szCs w:val="17"/>
        </w:rPr>
        <w:t xml:space="preserve"> </w:t>
      </w:r>
      <w:proofErr w:type="gramStart"/>
      <w:r>
        <w:rPr>
          <w:rStyle w:val="A7"/>
          <w:i w:val="0"/>
          <w:iCs w:val="0"/>
          <w:sz w:val="17"/>
          <w:szCs w:val="17"/>
        </w:rPr>
        <w:t>пациентов</w:t>
      </w:r>
      <w:proofErr w:type="gramEnd"/>
      <w:r>
        <w:rPr>
          <w:rStyle w:val="A7"/>
          <w:i w:val="0"/>
          <w:iCs w:val="0"/>
          <w:sz w:val="17"/>
          <w:szCs w:val="17"/>
        </w:rPr>
        <w:t>, что позволяет сократить сроки временной нетрудоспособности больных. Разработан</w:t>
      </w:r>
      <w:r>
        <w:rPr>
          <w:rStyle w:val="A7"/>
          <w:i w:val="0"/>
          <w:iCs w:val="0"/>
          <w:sz w:val="17"/>
          <w:szCs w:val="17"/>
        </w:rPr>
        <w:softHyphen/>
        <w:t xml:space="preserve">ный дренирующий сорбент является высокоэффективным средством нового поколения для местного лечения гнойных ран. </w:t>
      </w:r>
    </w:p>
    <w:p w:rsidR="00B505FF" w:rsidRDefault="00B505FF" w:rsidP="00B505FF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>периоститы челюстей, сорбционная повязка «</w:t>
      </w:r>
      <w:proofErr w:type="spellStart"/>
      <w:r>
        <w:rPr>
          <w:rStyle w:val="A7"/>
        </w:rPr>
        <w:t>Vita</w:t>
      </w:r>
      <w:proofErr w:type="spellEnd"/>
      <w:r>
        <w:rPr>
          <w:rStyle w:val="A7"/>
        </w:rPr>
        <w:t xml:space="preserve"> </w:t>
      </w:r>
      <w:proofErr w:type="spellStart"/>
      <w:r>
        <w:rPr>
          <w:rStyle w:val="A7"/>
        </w:rPr>
        <w:t>Vallis</w:t>
      </w:r>
      <w:proofErr w:type="spellEnd"/>
      <w:r>
        <w:rPr>
          <w:rStyle w:val="A7"/>
        </w:rPr>
        <w:t xml:space="preserve">», </w:t>
      </w:r>
      <w:proofErr w:type="spellStart"/>
      <w:r>
        <w:rPr>
          <w:rStyle w:val="A7"/>
        </w:rPr>
        <w:t>оксигидроксид</w:t>
      </w:r>
      <w:proofErr w:type="spellEnd"/>
      <w:r>
        <w:rPr>
          <w:rStyle w:val="A7"/>
        </w:rPr>
        <w:t xml:space="preserve"> алюминия, коллоидное серебро</w:t>
      </w:r>
    </w:p>
    <w:p w:rsidR="00B505FF" w:rsidRDefault="00B505FF" w:rsidP="00B505FF">
      <w:pPr>
        <w:pStyle w:val="Pa21"/>
        <w:rPr>
          <w:rFonts w:cs="Palatino Linotype"/>
          <w:color w:val="000000"/>
          <w:sz w:val="22"/>
          <w:szCs w:val="22"/>
        </w:rPr>
      </w:pP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Шарофиддинов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И.А., Ганиева М.Т.,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Исокова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М.Дж.,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Рабоева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Ш.Р.,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Абдуллоев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А.Н. </w:t>
      </w:r>
    </w:p>
    <w:p w:rsidR="00B505FF" w:rsidRDefault="00B505FF" w:rsidP="00B505FF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ВОПРОСЫ МЕДИКАМЕНТОЗНОГО ЛЕЧЕНИЯ И СОЦИАЛЬНОЙ РЕАБИЛИТАЦИИ ДЕТСКОГО ЦЕРЕБРАЛЬНОГО ПАРАЛИЧА </w:t>
      </w:r>
    </w:p>
    <w:p w:rsidR="00B505FF" w:rsidRDefault="00B505FF" w:rsidP="00B505FF">
      <w:pPr>
        <w:jc w:val="both"/>
        <w:rPr>
          <w:rFonts w:cs="Palatino Linotype"/>
          <w:color w:val="000000"/>
        </w:rPr>
      </w:pPr>
      <w:r>
        <w:rPr>
          <w:rFonts w:cs="Palatino Linotype"/>
          <w:color w:val="000000"/>
        </w:rPr>
        <w:t xml:space="preserve">Кафедра неврологии и основ медицинской генетики ГОУ ТГМУ им. Абуали ибн </w:t>
      </w:r>
      <w:proofErr w:type="spellStart"/>
      <w:r>
        <w:rPr>
          <w:rFonts w:cs="Palatino Linotype"/>
          <w:color w:val="000000"/>
        </w:rPr>
        <w:t>Сино</w:t>
      </w:r>
      <w:proofErr w:type="spellEnd"/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Цель исследования. </w:t>
      </w:r>
      <w:r>
        <w:rPr>
          <w:rStyle w:val="A7"/>
          <w:i w:val="0"/>
          <w:iCs w:val="0"/>
        </w:rPr>
        <w:t xml:space="preserve">Оценка эффективности медикаментозной терапии и физической реабилитации детей с детским церебральным параличом. </w:t>
      </w:r>
    </w:p>
    <w:p w:rsidR="00B505FF" w:rsidRDefault="00B505FF" w:rsidP="00B505FF">
      <w:pPr>
        <w:pStyle w:val="Pa2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b/>
          <w:bCs/>
          <w:i w:val="0"/>
          <w:iCs w:val="0"/>
          <w:sz w:val="17"/>
          <w:szCs w:val="17"/>
        </w:rPr>
        <w:t xml:space="preserve">Материал и методы. </w:t>
      </w:r>
      <w:r>
        <w:rPr>
          <w:rStyle w:val="A7"/>
          <w:i w:val="0"/>
          <w:iCs w:val="0"/>
          <w:sz w:val="17"/>
          <w:szCs w:val="17"/>
        </w:rPr>
        <w:t xml:space="preserve">В детском неврологическом отделении ГУ НМЦ Республики Таджикистан с 2011 по 2016 гг. наблюдались 1344 больных с детским церебральным параличом. Больные распределены на две группы: 1 - 1071 ребенок в возрасте до 7 лет, 2 - 273 ребенка в возрасте 8-15 лет. У больных с ДЦП отмечались различной степени нарушения двигательной сферы, речи, интеллекта, расстройства концентрации внимания, судорожные приступы. </w:t>
      </w:r>
    </w:p>
    <w:p w:rsidR="00B505FF" w:rsidRDefault="00B505FF" w:rsidP="00B505FF">
      <w:pPr>
        <w:pStyle w:val="Pa2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b/>
          <w:bCs/>
          <w:i w:val="0"/>
          <w:iCs w:val="0"/>
          <w:sz w:val="17"/>
          <w:szCs w:val="17"/>
        </w:rPr>
        <w:t xml:space="preserve">Результаты. </w:t>
      </w:r>
      <w:proofErr w:type="gramStart"/>
      <w:r>
        <w:rPr>
          <w:rStyle w:val="A7"/>
          <w:i w:val="0"/>
          <w:iCs w:val="0"/>
          <w:sz w:val="17"/>
          <w:szCs w:val="17"/>
        </w:rPr>
        <w:t xml:space="preserve">Всем больным проведены комплексные реабилитационные мероприятия: медикаментозное лечение (10-30 мл </w:t>
      </w:r>
      <w:proofErr w:type="spellStart"/>
      <w:r>
        <w:rPr>
          <w:rStyle w:val="A7"/>
          <w:i w:val="0"/>
          <w:iCs w:val="0"/>
          <w:sz w:val="17"/>
          <w:szCs w:val="17"/>
        </w:rPr>
        <w:t>церебролизина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на 200,0 мл 0,9% натрий хлора или 5% - 200 мл глюкозы; при </w:t>
      </w:r>
      <w:proofErr w:type="spellStart"/>
      <w:r>
        <w:rPr>
          <w:rStyle w:val="A7"/>
          <w:i w:val="0"/>
          <w:iCs w:val="0"/>
          <w:sz w:val="17"/>
          <w:szCs w:val="17"/>
        </w:rPr>
        <w:t>генерализованной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</w:t>
      </w:r>
      <w:proofErr w:type="spellStart"/>
      <w:r>
        <w:rPr>
          <w:rStyle w:val="A7"/>
          <w:i w:val="0"/>
          <w:iCs w:val="0"/>
          <w:sz w:val="17"/>
          <w:szCs w:val="17"/>
        </w:rPr>
        <w:t>спастичности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</w:t>
      </w:r>
      <w:proofErr w:type="spellStart"/>
      <w:r>
        <w:rPr>
          <w:rStyle w:val="A7"/>
          <w:i w:val="0"/>
          <w:iCs w:val="0"/>
          <w:sz w:val="17"/>
          <w:szCs w:val="17"/>
        </w:rPr>
        <w:t>перорально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– </w:t>
      </w:r>
      <w:proofErr w:type="spellStart"/>
      <w:r>
        <w:rPr>
          <w:rStyle w:val="A7"/>
          <w:i w:val="0"/>
          <w:iCs w:val="0"/>
          <w:sz w:val="17"/>
          <w:szCs w:val="17"/>
        </w:rPr>
        <w:t>мидокалм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: до 7-летнего возраста 5 мг/кг, старше - 2-4 мг/кг в три приёма; препараты, улучшающие мозговое кровообращение – </w:t>
      </w:r>
      <w:proofErr w:type="spellStart"/>
      <w:r>
        <w:rPr>
          <w:rStyle w:val="A7"/>
          <w:i w:val="0"/>
          <w:iCs w:val="0"/>
          <w:sz w:val="17"/>
          <w:szCs w:val="17"/>
        </w:rPr>
        <w:t>стугерон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, </w:t>
      </w:r>
      <w:proofErr w:type="spellStart"/>
      <w:r>
        <w:rPr>
          <w:rStyle w:val="A7"/>
          <w:i w:val="0"/>
          <w:iCs w:val="0"/>
          <w:sz w:val="17"/>
          <w:szCs w:val="17"/>
        </w:rPr>
        <w:t>кавинтон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, </w:t>
      </w:r>
      <w:proofErr w:type="spellStart"/>
      <w:r>
        <w:rPr>
          <w:rStyle w:val="A7"/>
          <w:i w:val="0"/>
          <w:iCs w:val="0"/>
          <w:sz w:val="17"/>
          <w:szCs w:val="17"/>
        </w:rPr>
        <w:t>танакан</w:t>
      </w:r>
      <w:proofErr w:type="spellEnd"/>
      <w:r>
        <w:rPr>
          <w:rStyle w:val="A7"/>
          <w:i w:val="0"/>
          <w:iCs w:val="0"/>
          <w:sz w:val="17"/>
          <w:szCs w:val="17"/>
        </w:rPr>
        <w:t>; витаминотерапия), лечебная физкультура, массаж, физиотерапевти</w:t>
      </w:r>
      <w:r>
        <w:rPr>
          <w:rStyle w:val="A7"/>
          <w:i w:val="0"/>
          <w:iCs w:val="0"/>
          <w:sz w:val="17"/>
          <w:szCs w:val="17"/>
        </w:rPr>
        <w:softHyphen/>
        <w:t xml:space="preserve">ческие процедуры, логопедические и нейропсихологические занятия. </w:t>
      </w:r>
      <w:proofErr w:type="gramEnd"/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Заключение. </w:t>
      </w:r>
      <w:r>
        <w:rPr>
          <w:rStyle w:val="A7"/>
          <w:i w:val="0"/>
          <w:iCs w:val="0"/>
        </w:rPr>
        <w:t xml:space="preserve">Благодаря методикам восстановительного лечения двигательных, речевых и психических функций у детей, прежде всего первых 2-4 лет жизни, с ДЦП значительно возросли возможности улучшения деятельности центральной нервной системы. </w:t>
      </w:r>
    </w:p>
    <w:p w:rsidR="00B505FF" w:rsidRDefault="00B505FF" w:rsidP="00B505FF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>детский церебральный паралич, двигательные нарушения, реабилитационные мероприятия</w:t>
      </w:r>
    </w:p>
    <w:p w:rsidR="00B505FF" w:rsidRDefault="00B505FF" w:rsidP="00B505FF">
      <w:pPr>
        <w:pStyle w:val="Pa21"/>
        <w:rPr>
          <w:rFonts w:cs="Palatino Linotype"/>
          <w:color w:val="000000"/>
          <w:sz w:val="22"/>
          <w:szCs w:val="22"/>
        </w:rPr>
      </w:pP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Эмомалиев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Д.Г.,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Касымов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О.И. </w:t>
      </w:r>
    </w:p>
    <w:p w:rsidR="00B505FF" w:rsidRDefault="00B505FF" w:rsidP="00B505FF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КЛИНИКО-ИММУНОЛОГИЧЕСКАЯ ЭФФЕКТИВНОСТЬ ИММУНОМОДУЛИРУЮЩЕЙ ТЕРАПИИ БОЛЬНЫХ ПСОРИАЗОМ </w:t>
      </w:r>
    </w:p>
    <w:p w:rsidR="00B505FF" w:rsidRDefault="00B505FF" w:rsidP="00B505FF">
      <w:pPr>
        <w:jc w:val="both"/>
        <w:rPr>
          <w:rFonts w:cs="Palatino Linotype"/>
          <w:color w:val="000000"/>
        </w:rPr>
      </w:pPr>
      <w:r>
        <w:rPr>
          <w:rFonts w:cs="Palatino Linotype"/>
          <w:color w:val="000000"/>
        </w:rPr>
        <w:t xml:space="preserve">Кафедра дерматовенерологии с курсом косметологии ГОУ </w:t>
      </w:r>
      <w:proofErr w:type="spellStart"/>
      <w:r>
        <w:rPr>
          <w:rFonts w:cs="Palatino Linotype"/>
          <w:color w:val="000000"/>
        </w:rPr>
        <w:t>ИПОвСЗ</w:t>
      </w:r>
      <w:proofErr w:type="spellEnd"/>
      <w:r>
        <w:rPr>
          <w:rFonts w:cs="Palatino Linotype"/>
          <w:color w:val="000000"/>
        </w:rPr>
        <w:t xml:space="preserve"> РТ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Цель исследования. </w:t>
      </w:r>
      <w:r>
        <w:rPr>
          <w:rStyle w:val="A7"/>
          <w:i w:val="0"/>
          <w:iCs w:val="0"/>
        </w:rPr>
        <w:t xml:space="preserve">Определить клинико-иммунологическую эффективность </w:t>
      </w:r>
      <w:proofErr w:type="spellStart"/>
      <w:r>
        <w:rPr>
          <w:rStyle w:val="A7"/>
          <w:i w:val="0"/>
          <w:iCs w:val="0"/>
        </w:rPr>
        <w:t>тимогара</w:t>
      </w:r>
      <w:proofErr w:type="spellEnd"/>
      <w:r>
        <w:rPr>
          <w:rStyle w:val="A7"/>
          <w:i w:val="0"/>
          <w:iCs w:val="0"/>
        </w:rPr>
        <w:t xml:space="preserve"> в комплексном лечении больных псориазом.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b/>
          <w:bCs/>
          <w:i w:val="0"/>
          <w:iCs w:val="0"/>
          <w:sz w:val="17"/>
          <w:szCs w:val="17"/>
        </w:rPr>
        <w:t xml:space="preserve">Материал и методы. </w:t>
      </w:r>
      <w:r>
        <w:rPr>
          <w:rStyle w:val="A7"/>
          <w:i w:val="0"/>
          <w:iCs w:val="0"/>
          <w:sz w:val="17"/>
          <w:szCs w:val="17"/>
        </w:rPr>
        <w:t>Обследовано 120 больных псориазом (74 мужчины, 46 женщин) в возрасте от 16 до 64 лет. Наследственно-обусловленный (I тип) вариант заболевания обнаружен у 45,8% (</w:t>
      </w:r>
      <w:proofErr w:type="spellStart"/>
      <w:r>
        <w:rPr>
          <w:rStyle w:val="A7"/>
          <w:i w:val="0"/>
          <w:iCs w:val="0"/>
          <w:sz w:val="17"/>
          <w:szCs w:val="17"/>
        </w:rPr>
        <w:t>n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= 55) больных, спорадический (II тип) – у 54,2% (</w:t>
      </w:r>
      <w:proofErr w:type="spellStart"/>
      <w:r>
        <w:rPr>
          <w:rStyle w:val="A7"/>
          <w:i w:val="0"/>
          <w:iCs w:val="0"/>
          <w:sz w:val="17"/>
          <w:szCs w:val="17"/>
        </w:rPr>
        <w:t>n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= 65). В зависимости от использованных методов лечения больные разделены на 2 группы. Первая группа (50 больных) получила лечение обычными средствами (</w:t>
      </w:r>
      <w:proofErr w:type="spellStart"/>
      <w:r>
        <w:rPr>
          <w:rStyle w:val="A7"/>
          <w:i w:val="0"/>
          <w:iCs w:val="0"/>
          <w:sz w:val="17"/>
          <w:szCs w:val="17"/>
        </w:rPr>
        <w:t>гемосол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, </w:t>
      </w:r>
      <w:proofErr w:type="spellStart"/>
      <w:r>
        <w:rPr>
          <w:rStyle w:val="A7"/>
          <w:i w:val="0"/>
          <w:iCs w:val="0"/>
          <w:sz w:val="17"/>
          <w:szCs w:val="17"/>
        </w:rPr>
        <w:t>глюконат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кальция, тиосульфат натрия) и УФ облучение длиной волны 280-320 нм, вторая (70 больных) – дополнительно </w:t>
      </w:r>
      <w:proofErr w:type="spellStart"/>
      <w:r>
        <w:rPr>
          <w:rStyle w:val="A7"/>
          <w:i w:val="0"/>
          <w:iCs w:val="0"/>
          <w:sz w:val="17"/>
          <w:szCs w:val="17"/>
        </w:rPr>
        <w:t>тимогар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по 1,0 мл в/м ежедневно, в течение 10 дней.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i w:val="0"/>
          <w:iCs w:val="0"/>
        </w:rPr>
        <w:t xml:space="preserve">Методы исследования: клинические, биохимические, иммунологические, статистические.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lastRenderedPageBreak/>
        <w:t xml:space="preserve">Результаты. </w:t>
      </w:r>
      <w:r>
        <w:rPr>
          <w:rStyle w:val="A7"/>
          <w:i w:val="0"/>
          <w:iCs w:val="0"/>
        </w:rPr>
        <w:t xml:space="preserve">Иммуностимулирующая терапия с применением </w:t>
      </w:r>
      <w:proofErr w:type="spellStart"/>
      <w:r>
        <w:rPr>
          <w:rStyle w:val="A7"/>
          <w:i w:val="0"/>
          <w:iCs w:val="0"/>
        </w:rPr>
        <w:t>тимогара</w:t>
      </w:r>
      <w:proofErr w:type="spellEnd"/>
      <w:r>
        <w:rPr>
          <w:rStyle w:val="A7"/>
          <w:i w:val="0"/>
          <w:iCs w:val="0"/>
        </w:rPr>
        <w:t xml:space="preserve"> показала в 1,6 раза (</w:t>
      </w:r>
      <w:proofErr w:type="spellStart"/>
      <w:r>
        <w:rPr>
          <w:rStyle w:val="A7"/>
          <w:i w:val="0"/>
          <w:iCs w:val="0"/>
        </w:rPr>
        <w:t>p</w:t>
      </w:r>
      <w:proofErr w:type="spellEnd"/>
      <w:r>
        <w:rPr>
          <w:rStyle w:val="A7"/>
          <w:i w:val="0"/>
          <w:iCs w:val="0"/>
        </w:rPr>
        <w:t xml:space="preserve"> &lt;0,05) лучшие ре</w:t>
      </w:r>
      <w:r>
        <w:rPr>
          <w:rStyle w:val="A7"/>
          <w:i w:val="0"/>
          <w:iCs w:val="0"/>
        </w:rPr>
        <w:softHyphen/>
        <w:t>зультаты, чем традиционная: положительные результаты (клиническое выздоровление и значительное улучшение) получены у 70% больных против 44%, на 5,6 дня (</w:t>
      </w:r>
      <w:proofErr w:type="spellStart"/>
      <w:r>
        <w:rPr>
          <w:rStyle w:val="A7"/>
          <w:i w:val="0"/>
          <w:iCs w:val="0"/>
        </w:rPr>
        <w:t>p</w:t>
      </w:r>
      <w:proofErr w:type="spellEnd"/>
      <w:r>
        <w:rPr>
          <w:rStyle w:val="A7"/>
          <w:i w:val="0"/>
          <w:iCs w:val="0"/>
        </w:rPr>
        <w:t xml:space="preserve"> &lt;0,05) сократилась продолжительность стационарного лечения, нормализовались в 4 раза больше измененных иммунологических и </w:t>
      </w:r>
      <w:proofErr w:type="gramStart"/>
      <w:r>
        <w:rPr>
          <w:rStyle w:val="A7"/>
          <w:i w:val="0"/>
          <w:iCs w:val="0"/>
        </w:rPr>
        <w:t>в</w:t>
      </w:r>
      <w:proofErr w:type="gramEnd"/>
      <w:r>
        <w:rPr>
          <w:rStyle w:val="A7"/>
          <w:i w:val="0"/>
          <w:iCs w:val="0"/>
        </w:rPr>
        <w:t xml:space="preserve"> 2 раза - липидных показателей.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Заключение. </w:t>
      </w:r>
      <w:proofErr w:type="spellStart"/>
      <w:r>
        <w:rPr>
          <w:rStyle w:val="A7"/>
          <w:i w:val="0"/>
          <w:iCs w:val="0"/>
        </w:rPr>
        <w:t>Тимогар</w:t>
      </w:r>
      <w:proofErr w:type="spellEnd"/>
      <w:r>
        <w:rPr>
          <w:rStyle w:val="A7"/>
          <w:i w:val="0"/>
          <w:iCs w:val="0"/>
        </w:rPr>
        <w:t xml:space="preserve"> рекомендуется для лечения больных псориазом. </w:t>
      </w:r>
    </w:p>
    <w:p w:rsidR="00B505FF" w:rsidRDefault="00B505FF" w:rsidP="00B505F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 xml:space="preserve">псориаз, иммунологические и липидные показатели, лечение, </w:t>
      </w:r>
      <w:proofErr w:type="spellStart"/>
      <w:r>
        <w:rPr>
          <w:rStyle w:val="A7"/>
        </w:rPr>
        <w:t>тимогар</w:t>
      </w:r>
      <w:proofErr w:type="spellEnd"/>
    </w:p>
    <w:p w:rsidR="00A70BB1" w:rsidRDefault="00A70BB1" w:rsidP="00A70BB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0B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ОБЗОРЫ ЛИТЕРАТУРЫ</w:t>
      </w:r>
    </w:p>
    <w:p w:rsidR="00B505FF" w:rsidRDefault="00B505FF" w:rsidP="00B505FF">
      <w:pPr>
        <w:pStyle w:val="Pa21"/>
        <w:rPr>
          <w:rFonts w:cs="Palatino Linotype"/>
          <w:color w:val="000000"/>
          <w:sz w:val="22"/>
          <w:szCs w:val="22"/>
        </w:rPr>
      </w:pP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Абдурахманова М.Ш.,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Амхадова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М.А.,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Кхир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Бек М.,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Амхадов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И.С., Писаренко И.К. </w:t>
      </w:r>
    </w:p>
    <w:p w:rsidR="00B505FF" w:rsidRDefault="00B505FF" w:rsidP="00B505FF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АНАЛИТИЧЕСКАЯ ОЦЕНКА СОВРЕМЕННЫХ МЕТОДОВ ДИАГНОСТИКИ ВИСОЧНО-НИЖНЕЧЕЛЮСТНЫХ РАССТРОЙСТВ </w:t>
      </w:r>
    </w:p>
    <w:p w:rsidR="00B505FF" w:rsidRDefault="00B505FF" w:rsidP="00B505FF">
      <w:pPr>
        <w:jc w:val="both"/>
        <w:rPr>
          <w:rFonts w:cs="Palatino Linotype"/>
          <w:color w:val="000000"/>
        </w:rPr>
      </w:pPr>
      <w:r>
        <w:rPr>
          <w:rFonts w:cs="Palatino Linotype"/>
          <w:color w:val="000000"/>
        </w:rPr>
        <w:t xml:space="preserve">Кафедра хирургической стоматологии и </w:t>
      </w:r>
      <w:proofErr w:type="spellStart"/>
      <w:r>
        <w:rPr>
          <w:rFonts w:cs="Palatino Linotype"/>
          <w:color w:val="000000"/>
        </w:rPr>
        <w:t>имплантологии</w:t>
      </w:r>
      <w:proofErr w:type="spellEnd"/>
      <w:r>
        <w:rPr>
          <w:rFonts w:cs="Palatino Linotype"/>
          <w:color w:val="000000"/>
        </w:rPr>
        <w:t xml:space="preserve"> ГБУЗ МО «Московский областной научно-исследовательский институт им. М.Ф. Владимирского», Российская Федерация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Аннотация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i w:val="0"/>
          <w:iCs w:val="0"/>
          <w:sz w:val="17"/>
          <w:szCs w:val="17"/>
        </w:rPr>
        <w:t xml:space="preserve">Височно-нижнечелюстные расстройства – термин, обозначающий дисфункцию височно-нижнечелюстного сустава и соседних жевательных и височных мышц и, как известно, сопровождающийся такими симптомами, как боль, звуки в области сустава и ограничение открывании рта. Этиология височно-нижнечелюстных расстройств разная и еще полностью не выяснена. По данным разных авторов, дисфункции височно-нижнечелюстного сустава подразделяют на две большие группы - </w:t>
      </w:r>
      <w:proofErr w:type="spellStart"/>
      <w:r>
        <w:rPr>
          <w:rStyle w:val="A7"/>
          <w:i w:val="0"/>
          <w:iCs w:val="0"/>
          <w:sz w:val="17"/>
          <w:szCs w:val="17"/>
        </w:rPr>
        <w:t>миогенные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височно-нижнечелюстные расстройства, которые в большей степени связаны с нарушением работы жевательной мускулатуры, и </w:t>
      </w:r>
      <w:proofErr w:type="spellStart"/>
      <w:r>
        <w:rPr>
          <w:rStyle w:val="A7"/>
          <w:i w:val="0"/>
          <w:iCs w:val="0"/>
          <w:sz w:val="17"/>
          <w:szCs w:val="17"/>
        </w:rPr>
        <w:t>артрогенные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расстройства, которые связаны с самим височно-нижнечелюстным суставом и </w:t>
      </w:r>
      <w:proofErr w:type="spellStart"/>
      <w:r>
        <w:rPr>
          <w:rStyle w:val="A7"/>
          <w:i w:val="0"/>
          <w:iCs w:val="0"/>
          <w:sz w:val="17"/>
          <w:szCs w:val="17"/>
        </w:rPr>
        <w:t>окклюзионными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нарушениями челюстно-лицевой области. В статье приведены примеры диагностики височно-нижнечелюстных расстройств. </w:t>
      </w:r>
    </w:p>
    <w:p w:rsidR="00B505FF" w:rsidRDefault="00B505FF" w:rsidP="00B505FF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>височно-нижнечелюстные расстройства, электромиография, компьютерная томография</w:t>
      </w:r>
    </w:p>
    <w:p w:rsidR="00B505FF" w:rsidRDefault="00B505FF" w:rsidP="00B505FF">
      <w:pPr>
        <w:pStyle w:val="Pa21"/>
        <w:rPr>
          <w:rFonts w:cs="Palatino Linotype"/>
          <w:color w:val="000000"/>
          <w:sz w:val="22"/>
          <w:szCs w:val="22"/>
        </w:rPr>
      </w:pPr>
      <w:r>
        <w:rPr>
          <w:rStyle w:val="A10"/>
          <w:b/>
          <w:bCs/>
          <w:i/>
          <w:iCs/>
        </w:rPr>
        <w:t>1,2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Курбонов Ш.М.,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Курбонов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К.М., </w:t>
      </w:r>
      <w:r>
        <w:rPr>
          <w:rStyle w:val="A10"/>
          <w:b/>
          <w:bCs/>
          <w:i/>
          <w:iCs/>
        </w:rPr>
        <w:t>1,3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Ахмедова З.Б. </w:t>
      </w:r>
    </w:p>
    <w:p w:rsidR="00B505FF" w:rsidRDefault="00B505FF" w:rsidP="00B505FF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АКУШЕРСКИЕ КРОВОТЕЧЕНИЯ ПОСЛЕ КЕСАРЕВА СЕЧЕНИЯ И МЕТОДЫ ИХ ЛЕЧЕНИЯ: СОСТОЯНИЕ ПРОБЛЕМЫ И ПЕРСПЕКТИВЫ </w:t>
      </w:r>
    </w:p>
    <w:p w:rsidR="00B505FF" w:rsidRDefault="00B505FF" w:rsidP="00B505FF">
      <w:pPr>
        <w:pStyle w:val="Pa1"/>
        <w:jc w:val="both"/>
        <w:rPr>
          <w:rFonts w:cs="Palatino Linotype"/>
          <w:color w:val="000000"/>
          <w:sz w:val="22"/>
          <w:szCs w:val="22"/>
        </w:rPr>
      </w:pPr>
      <w:r>
        <w:rPr>
          <w:rStyle w:val="A10"/>
        </w:rPr>
        <w:t>1</w:t>
      </w:r>
      <w:r>
        <w:rPr>
          <w:rFonts w:cs="Palatino Linotype"/>
          <w:color w:val="000000"/>
          <w:sz w:val="22"/>
          <w:szCs w:val="22"/>
        </w:rPr>
        <w:t>Медицинский центр "</w:t>
      </w:r>
      <w:proofErr w:type="spellStart"/>
      <w:r>
        <w:rPr>
          <w:rFonts w:cs="Palatino Linotype"/>
          <w:color w:val="000000"/>
          <w:sz w:val="22"/>
          <w:szCs w:val="22"/>
        </w:rPr>
        <w:t>Насл</w:t>
      </w:r>
      <w:proofErr w:type="spellEnd"/>
      <w:r>
        <w:rPr>
          <w:rFonts w:cs="Palatino Linotype"/>
          <w:color w:val="000000"/>
          <w:sz w:val="22"/>
          <w:szCs w:val="22"/>
        </w:rPr>
        <w:t xml:space="preserve">" </w:t>
      </w:r>
    </w:p>
    <w:p w:rsidR="00B505FF" w:rsidRDefault="00B505FF" w:rsidP="00B505FF">
      <w:pPr>
        <w:pStyle w:val="Pa1"/>
        <w:jc w:val="both"/>
        <w:rPr>
          <w:rFonts w:cs="Palatino Linotype"/>
          <w:color w:val="000000"/>
          <w:sz w:val="22"/>
          <w:szCs w:val="22"/>
        </w:rPr>
      </w:pPr>
      <w:r>
        <w:rPr>
          <w:rStyle w:val="A10"/>
        </w:rPr>
        <w:t>2</w:t>
      </w:r>
      <w:r>
        <w:rPr>
          <w:rFonts w:cs="Palatino Linotype"/>
          <w:color w:val="000000"/>
          <w:sz w:val="22"/>
          <w:szCs w:val="22"/>
        </w:rPr>
        <w:t xml:space="preserve">Кафедра акушерства и гинекологии №1 ГОУ </w:t>
      </w:r>
      <w:proofErr w:type="spellStart"/>
      <w:r>
        <w:rPr>
          <w:rFonts w:cs="Palatino Linotype"/>
          <w:color w:val="000000"/>
          <w:sz w:val="22"/>
          <w:szCs w:val="22"/>
        </w:rPr>
        <w:t>ИПОвСЗ</w:t>
      </w:r>
      <w:proofErr w:type="spellEnd"/>
      <w:r>
        <w:rPr>
          <w:rFonts w:cs="Palatino Linotype"/>
          <w:color w:val="000000"/>
          <w:sz w:val="22"/>
          <w:szCs w:val="22"/>
        </w:rPr>
        <w:t xml:space="preserve"> РТ </w:t>
      </w:r>
    </w:p>
    <w:p w:rsidR="00B505FF" w:rsidRDefault="00B505FF" w:rsidP="00B505FF">
      <w:pPr>
        <w:jc w:val="both"/>
        <w:rPr>
          <w:rFonts w:cs="Palatino Linotype"/>
          <w:color w:val="000000"/>
        </w:rPr>
      </w:pPr>
      <w:r>
        <w:rPr>
          <w:rStyle w:val="A10"/>
        </w:rPr>
        <w:t>3</w:t>
      </w:r>
      <w:r>
        <w:rPr>
          <w:rFonts w:cs="Palatino Linotype"/>
          <w:color w:val="000000"/>
        </w:rPr>
        <w:t xml:space="preserve">Кафедра онкологии ГОУ </w:t>
      </w:r>
      <w:proofErr w:type="spellStart"/>
      <w:r>
        <w:rPr>
          <w:rFonts w:cs="Palatino Linotype"/>
          <w:color w:val="000000"/>
        </w:rPr>
        <w:t>ИПОвСЗ</w:t>
      </w:r>
      <w:proofErr w:type="spellEnd"/>
      <w:r>
        <w:rPr>
          <w:rFonts w:cs="Palatino Linotype"/>
          <w:color w:val="000000"/>
        </w:rPr>
        <w:t xml:space="preserve"> РТ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Аннотация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6"/>
          <w:szCs w:val="16"/>
        </w:rPr>
      </w:pPr>
      <w:r>
        <w:rPr>
          <w:rStyle w:val="A7"/>
          <w:i w:val="0"/>
          <w:iCs w:val="0"/>
          <w:sz w:val="16"/>
          <w:szCs w:val="16"/>
        </w:rPr>
        <w:t xml:space="preserve">В данном литературном обзоре отражены вопросы показаний к выполнению </w:t>
      </w:r>
      <w:proofErr w:type="spellStart"/>
      <w:r>
        <w:rPr>
          <w:rStyle w:val="A7"/>
          <w:i w:val="0"/>
          <w:iCs w:val="0"/>
          <w:sz w:val="16"/>
          <w:szCs w:val="16"/>
        </w:rPr>
        <w:t>релапаротомии</w:t>
      </w:r>
      <w:proofErr w:type="spellEnd"/>
      <w:r>
        <w:rPr>
          <w:rStyle w:val="A7"/>
          <w:i w:val="0"/>
          <w:iCs w:val="0"/>
          <w:sz w:val="16"/>
          <w:szCs w:val="16"/>
        </w:rPr>
        <w:t xml:space="preserve"> в акушерской практике после оперативного </w:t>
      </w:r>
      <w:proofErr w:type="spellStart"/>
      <w:r>
        <w:rPr>
          <w:rStyle w:val="A7"/>
          <w:i w:val="0"/>
          <w:iCs w:val="0"/>
          <w:sz w:val="16"/>
          <w:szCs w:val="16"/>
        </w:rPr>
        <w:t>родоразрешения</w:t>
      </w:r>
      <w:proofErr w:type="spellEnd"/>
      <w:r>
        <w:rPr>
          <w:rStyle w:val="A7"/>
          <w:i w:val="0"/>
          <w:iCs w:val="0"/>
          <w:sz w:val="16"/>
          <w:szCs w:val="16"/>
        </w:rPr>
        <w:t>, в связи с развитием таких грозных осложнений, как атониче</w:t>
      </w:r>
      <w:r>
        <w:rPr>
          <w:rStyle w:val="A7"/>
          <w:i w:val="0"/>
          <w:iCs w:val="0"/>
          <w:sz w:val="16"/>
          <w:szCs w:val="16"/>
        </w:rPr>
        <w:softHyphen/>
        <w:t>ские кровотечения, послеоперационный акушерско-гинекологический перитонит, послеоперационная острая кишечная непроходимость. Большой интерес среди хирургов в последние годы, в связи с развитием высокотех</w:t>
      </w:r>
      <w:r>
        <w:rPr>
          <w:rStyle w:val="A7"/>
          <w:i w:val="0"/>
          <w:iCs w:val="0"/>
          <w:sz w:val="16"/>
          <w:szCs w:val="16"/>
        </w:rPr>
        <w:softHyphen/>
        <w:t xml:space="preserve">нологичной хирургии и накопленного опыта, представляют методики </w:t>
      </w:r>
      <w:proofErr w:type="spellStart"/>
      <w:r>
        <w:rPr>
          <w:rStyle w:val="A7"/>
          <w:i w:val="0"/>
          <w:iCs w:val="0"/>
          <w:sz w:val="16"/>
          <w:szCs w:val="16"/>
        </w:rPr>
        <w:t>релапароскопии</w:t>
      </w:r>
      <w:proofErr w:type="spellEnd"/>
      <w:r>
        <w:rPr>
          <w:rStyle w:val="A7"/>
          <w:i w:val="0"/>
          <w:iCs w:val="0"/>
          <w:sz w:val="16"/>
          <w:szCs w:val="16"/>
        </w:rPr>
        <w:t xml:space="preserve"> в послеоперационном </w:t>
      </w:r>
      <w:proofErr w:type="gramStart"/>
      <w:r>
        <w:rPr>
          <w:rStyle w:val="A7"/>
          <w:i w:val="0"/>
          <w:iCs w:val="0"/>
          <w:sz w:val="16"/>
          <w:szCs w:val="16"/>
        </w:rPr>
        <w:t>периоде</w:t>
      </w:r>
      <w:proofErr w:type="gramEnd"/>
      <w:r>
        <w:rPr>
          <w:rStyle w:val="A7"/>
          <w:i w:val="0"/>
          <w:iCs w:val="0"/>
          <w:sz w:val="16"/>
          <w:szCs w:val="16"/>
        </w:rPr>
        <w:t xml:space="preserve"> как с диагностической, так и с лечебной целями при определенных условиях. Также исследованы аспек</w:t>
      </w:r>
      <w:r>
        <w:rPr>
          <w:rStyle w:val="A7"/>
          <w:i w:val="0"/>
          <w:iCs w:val="0"/>
          <w:sz w:val="16"/>
          <w:szCs w:val="16"/>
        </w:rPr>
        <w:softHyphen/>
        <w:t xml:space="preserve">ты послеоперационных внутрибрюшных кровотечений в акушерской практике, особенности их диагностики, подсчета кровопотери и методы гемостаза. В случае неудачи консервативных методов остановки кровотечения многие авторы рассматривают и оценивают эффективность следующих методик: баллонную тампонаду матки, перевязку подвздошных артерий, наложение компрессионных швов на тело матки, </w:t>
      </w:r>
      <w:proofErr w:type="spellStart"/>
      <w:r>
        <w:rPr>
          <w:rStyle w:val="A7"/>
          <w:i w:val="0"/>
          <w:iCs w:val="0"/>
          <w:sz w:val="16"/>
          <w:szCs w:val="16"/>
        </w:rPr>
        <w:t>гистерэктомию</w:t>
      </w:r>
      <w:proofErr w:type="spellEnd"/>
      <w:r>
        <w:rPr>
          <w:rStyle w:val="A7"/>
          <w:i w:val="0"/>
          <w:iCs w:val="0"/>
          <w:sz w:val="16"/>
          <w:szCs w:val="16"/>
        </w:rPr>
        <w:t xml:space="preserve">, </w:t>
      </w:r>
      <w:proofErr w:type="spellStart"/>
      <w:r>
        <w:rPr>
          <w:rStyle w:val="A7"/>
          <w:i w:val="0"/>
          <w:iCs w:val="0"/>
          <w:sz w:val="16"/>
          <w:szCs w:val="16"/>
        </w:rPr>
        <w:t>эмболиза</w:t>
      </w:r>
      <w:r>
        <w:rPr>
          <w:rStyle w:val="A7"/>
          <w:i w:val="0"/>
          <w:iCs w:val="0"/>
          <w:sz w:val="16"/>
          <w:szCs w:val="16"/>
        </w:rPr>
        <w:softHyphen/>
        <w:t>цию</w:t>
      </w:r>
      <w:proofErr w:type="spellEnd"/>
      <w:r>
        <w:rPr>
          <w:rStyle w:val="A7"/>
          <w:i w:val="0"/>
          <w:iCs w:val="0"/>
          <w:sz w:val="16"/>
          <w:szCs w:val="16"/>
        </w:rPr>
        <w:t xml:space="preserve"> маточной артерии. </w:t>
      </w:r>
    </w:p>
    <w:p w:rsidR="00B505FF" w:rsidRDefault="00B505FF" w:rsidP="00B505FF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proofErr w:type="spellStart"/>
      <w:r>
        <w:rPr>
          <w:rStyle w:val="A7"/>
        </w:rPr>
        <w:t>релапаротомия</w:t>
      </w:r>
      <w:proofErr w:type="spellEnd"/>
      <w:r>
        <w:rPr>
          <w:rStyle w:val="A7"/>
        </w:rPr>
        <w:t xml:space="preserve">, </w:t>
      </w:r>
      <w:proofErr w:type="spellStart"/>
      <w:r>
        <w:rPr>
          <w:rStyle w:val="A7"/>
        </w:rPr>
        <w:t>релапароскопия</w:t>
      </w:r>
      <w:proofErr w:type="spellEnd"/>
      <w:r>
        <w:rPr>
          <w:rStyle w:val="A7"/>
        </w:rPr>
        <w:t>, гипотонические кровотечения, кесарево сечение</w:t>
      </w:r>
    </w:p>
    <w:p w:rsidR="00B505FF" w:rsidRDefault="00B505FF" w:rsidP="00B505FF">
      <w:pPr>
        <w:pStyle w:val="Pa21"/>
        <w:rPr>
          <w:rFonts w:cs="Palatino Linotype"/>
          <w:color w:val="000000"/>
          <w:sz w:val="22"/>
          <w:szCs w:val="22"/>
        </w:rPr>
      </w:pPr>
      <w:r>
        <w:rPr>
          <w:rStyle w:val="A10"/>
          <w:b/>
          <w:bCs/>
          <w:i/>
          <w:iCs/>
        </w:rPr>
        <w:t>1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Маликов М.Х., </w:t>
      </w:r>
      <w:r>
        <w:rPr>
          <w:rStyle w:val="A10"/>
          <w:b/>
          <w:bCs/>
          <w:i/>
          <w:iCs/>
        </w:rPr>
        <w:t>1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Каримзаде Г.Д., </w:t>
      </w:r>
      <w:r>
        <w:rPr>
          <w:rStyle w:val="A10"/>
          <w:b/>
          <w:bCs/>
          <w:i/>
          <w:iCs/>
        </w:rPr>
        <w:t>1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Хасанов М.А., </w:t>
      </w:r>
    </w:p>
    <w:p w:rsidR="00B505FF" w:rsidRDefault="00B505FF" w:rsidP="00B505FF">
      <w:pPr>
        <w:pStyle w:val="Pa21"/>
        <w:rPr>
          <w:rFonts w:cs="Palatino Linotype"/>
          <w:color w:val="000000"/>
          <w:sz w:val="22"/>
          <w:szCs w:val="22"/>
        </w:rPr>
      </w:pPr>
      <w:r>
        <w:rPr>
          <w:rStyle w:val="A10"/>
          <w:b/>
          <w:bCs/>
          <w:i/>
          <w:iCs/>
        </w:rPr>
        <w:t>2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Сатторов Х.И., </w:t>
      </w:r>
      <w:r>
        <w:rPr>
          <w:rStyle w:val="A10"/>
          <w:b/>
          <w:bCs/>
          <w:i/>
          <w:iCs/>
        </w:rPr>
        <w:t>1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Мирзобеков Х.Ф., </w:t>
      </w:r>
      <w:r>
        <w:rPr>
          <w:rStyle w:val="A10"/>
          <w:b/>
          <w:bCs/>
          <w:i/>
          <w:iCs/>
        </w:rPr>
        <w:t>3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Махмадкулова Н.А. </w:t>
      </w:r>
    </w:p>
    <w:p w:rsidR="00B505FF" w:rsidRDefault="00B505FF" w:rsidP="00B505FF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ЧАСТОТА И ФАКТОРЫ ПОВРЕЖДЕНИЯ СРЕДИННОГО И ЛОКТЕВОГО НЕРВОВ </w:t>
      </w:r>
    </w:p>
    <w:p w:rsidR="00B505FF" w:rsidRDefault="00B505FF" w:rsidP="00B505FF">
      <w:pPr>
        <w:pStyle w:val="Pa1"/>
        <w:jc w:val="both"/>
        <w:rPr>
          <w:rFonts w:cs="Palatino Linotype"/>
          <w:color w:val="000000"/>
          <w:sz w:val="22"/>
          <w:szCs w:val="22"/>
        </w:rPr>
      </w:pPr>
      <w:r>
        <w:rPr>
          <w:rStyle w:val="A10"/>
        </w:rPr>
        <w:lastRenderedPageBreak/>
        <w:t>1</w:t>
      </w:r>
      <w:r>
        <w:rPr>
          <w:rFonts w:cs="Palatino Linotype"/>
          <w:color w:val="000000"/>
          <w:sz w:val="22"/>
          <w:szCs w:val="22"/>
        </w:rPr>
        <w:t xml:space="preserve">Кафедра хирургических болезней №2 ГОУ ТГМУ им. Абуали ибн </w:t>
      </w:r>
      <w:proofErr w:type="spellStart"/>
      <w:r>
        <w:rPr>
          <w:rFonts w:cs="Palatino Linotype"/>
          <w:color w:val="000000"/>
          <w:sz w:val="22"/>
          <w:szCs w:val="22"/>
        </w:rPr>
        <w:t>Сино</w:t>
      </w:r>
      <w:proofErr w:type="spellEnd"/>
      <w:r>
        <w:rPr>
          <w:rFonts w:cs="Palatino Linotype"/>
          <w:color w:val="000000"/>
          <w:sz w:val="22"/>
          <w:szCs w:val="22"/>
        </w:rPr>
        <w:t xml:space="preserve"> </w:t>
      </w:r>
    </w:p>
    <w:p w:rsidR="00B505FF" w:rsidRDefault="00B505FF" w:rsidP="00B505FF">
      <w:pPr>
        <w:pStyle w:val="Pa1"/>
        <w:jc w:val="both"/>
        <w:rPr>
          <w:rFonts w:cs="Palatino Linotype"/>
          <w:color w:val="000000"/>
          <w:sz w:val="22"/>
          <w:szCs w:val="22"/>
        </w:rPr>
      </w:pPr>
      <w:r>
        <w:rPr>
          <w:rStyle w:val="A10"/>
        </w:rPr>
        <w:t>2</w:t>
      </w:r>
      <w:r>
        <w:rPr>
          <w:rFonts w:cs="Palatino Linotype"/>
          <w:color w:val="000000"/>
          <w:sz w:val="22"/>
          <w:szCs w:val="22"/>
        </w:rPr>
        <w:t xml:space="preserve">ГУ «Республиканский научный центр сердечно-сосудистой хирургии» </w:t>
      </w:r>
      <w:proofErr w:type="spellStart"/>
      <w:r>
        <w:rPr>
          <w:rFonts w:cs="Palatino Linotype"/>
          <w:color w:val="000000"/>
          <w:sz w:val="22"/>
          <w:szCs w:val="22"/>
        </w:rPr>
        <w:t>МЗиСЗН</w:t>
      </w:r>
      <w:proofErr w:type="spellEnd"/>
      <w:r>
        <w:rPr>
          <w:rFonts w:cs="Palatino Linotype"/>
          <w:color w:val="000000"/>
          <w:sz w:val="22"/>
          <w:szCs w:val="22"/>
        </w:rPr>
        <w:t xml:space="preserve"> РТ </w:t>
      </w:r>
    </w:p>
    <w:p w:rsidR="00B505FF" w:rsidRDefault="00B505FF" w:rsidP="00B505FF">
      <w:pPr>
        <w:jc w:val="both"/>
        <w:rPr>
          <w:rFonts w:cs="Palatino Linotype"/>
          <w:color w:val="000000"/>
        </w:rPr>
      </w:pPr>
      <w:r>
        <w:rPr>
          <w:rStyle w:val="A10"/>
        </w:rPr>
        <w:t>3</w:t>
      </w:r>
      <w:r>
        <w:rPr>
          <w:rFonts w:cs="Palatino Linotype"/>
          <w:color w:val="000000"/>
        </w:rPr>
        <w:t xml:space="preserve">Кафедра топографической анатомии и оперативной хирургии ГОУ ТГМУ им. Абуали ибн </w:t>
      </w:r>
      <w:proofErr w:type="spellStart"/>
      <w:r>
        <w:rPr>
          <w:rFonts w:cs="Palatino Linotype"/>
          <w:color w:val="000000"/>
        </w:rPr>
        <w:t>Сино</w:t>
      </w:r>
      <w:proofErr w:type="spellEnd"/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Аннотация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6"/>
          <w:szCs w:val="16"/>
        </w:rPr>
      </w:pPr>
      <w:r>
        <w:rPr>
          <w:rStyle w:val="A7"/>
          <w:i w:val="0"/>
          <w:iCs w:val="0"/>
          <w:sz w:val="16"/>
          <w:szCs w:val="16"/>
        </w:rPr>
        <w:t>В статье приведены литературные данные относительно частоты травмы срединного и локтевого нервов и этиоло</w:t>
      </w:r>
      <w:r>
        <w:rPr>
          <w:rStyle w:val="A7"/>
          <w:i w:val="0"/>
          <w:iCs w:val="0"/>
          <w:sz w:val="16"/>
          <w:szCs w:val="16"/>
        </w:rPr>
        <w:softHyphen/>
        <w:t xml:space="preserve">гические факторы повреждения. Подробно рассмотрена роль факторов повреждения и связанные с ними характер и объём поражения структур верхней конечности. Более важную часть статьи охватывают вопросы функциональной несостоятельности кисти и </w:t>
      </w:r>
      <w:proofErr w:type="spellStart"/>
      <w:r>
        <w:rPr>
          <w:rStyle w:val="A7"/>
          <w:i w:val="0"/>
          <w:iCs w:val="0"/>
          <w:sz w:val="16"/>
          <w:szCs w:val="16"/>
        </w:rPr>
        <w:t>инвалидизации</w:t>
      </w:r>
      <w:proofErr w:type="spellEnd"/>
      <w:r>
        <w:rPr>
          <w:rStyle w:val="A7"/>
          <w:i w:val="0"/>
          <w:iCs w:val="0"/>
          <w:sz w:val="16"/>
          <w:szCs w:val="16"/>
        </w:rPr>
        <w:t xml:space="preserve"> пострадавших. Длительный реабилитационный период в зависимости от характера, давности и уровня повреждения структур конечности является важным аспектом этой проблемы. При этом</w:t>
      </w:r>
      <w:proofErr w:type="gramStart"/>
      <w:r>
        <w:rPr>
          <w:rStyle w:val="A7"/>
          <w:i w:val="0"/>
          <w:iCs w:val="0"/>
          <w:sz w:val="16"/>
          <w:szCs w:val="16"/>
        </w:rPr>
        <w:t>,</w:t>
      </w:r>
      <w:proofErr w:type="gramEnd"/>
      <w:r>
        <w:rPr>
          <w:rStyle w:val="A7"/>
          <w:i w:val="0"/>
          <w:iCs w:val="0"/>
          <w:sz w:val="16"/>
          <w:szCs w:val="16"/>
        </w:rPr>
        <w:t xml:space="preserve"> согласно исследованиям, процент </w:t>
      </w:r>
      <w:proofErr w:type="spellStart"/>
      <w:r>
        <w:rPr>
          <w:rStyle w:val="A7"/>
          <w:i w:val="0"/>
          <w:iCs w:val="0"/>
          <w:sz w:val="16"/>
          <w:szCs w:val="16"/>
        </w:rPr>
        <w:t>инвалидизации</w:t>
      </w:r>
      <w:proofErr w:type="spellEnd"/>
      <w:r>
        <w:rPr>
          <w:rStyle w:val="A7"/>
          <w:i w:val="0"/>
          <w:iCs w:val="0"/>
          <w:sz w:val="16"/>
          <w:szCs w:val="16"/>
        </w:rPr>
        <w:t xml:space="preserve"> пострадавших в зависимости от объёма поражения и выбора метода лечения остаётся высоким и большинство пациентов из-за неутешительных результатов лечения меняют свою профессиональную деятельность. В представленном обзоре освещено значение этиологических факторов поврежде</w:t>
      </w:r>
      <w:r>
        <w:rPr>
          <w:rStyle w:val="A7"/>
          <w:i w:val="0"/>
          <w:iCs w:val="0"/>
          <w:sz w:val="16"/>
          <w:szCs w:val="16"/>
        </w:rPr>
        <w:softHyphen/>
        <w:t xml:space="preserve">ния структур верхней конечности и зависимость характера и тяжести повреждений от вида травмирующего агента. </w:t>
      </w:r>
    </w:p>
    <w:p w:rsidR="00B505FF" w:rsidRDefault="00B505FF" w:rsidP="00B505FF">
      <w:pPr>
        <w:jc w:val="both"/>
        <w:rPr>
          <w:rStyle w:val="A7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>верхняя конечность, факторы повреждения, сочетанное повреждение, срединный и локтевой нервы</w:t>
      </w:r>
    </w:p>
    <w:p w:rsidR="00B505FF" w:rsidRDefault="00B505FF" w:rsidP="00B505FF">
      <w:pPr>
        <w:pStyle w:val="Pa21"/>
        <w:rPr>
          <w:rFonts w:cs="Palatino Linotype"/>
          <w:color w:val="000000"/>
          <w:sz w:val="22"/>
          <w:szCs w:val="22"/>
        </w:rPr>
      </w:pP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Раджабова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Г.М.,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Шукурова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С.М.,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Файзуллоев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А.И., </w:t>
      </w:r>
      <w:proofErr w:type="spellStart"/>
      <w:r>
        <w:rPr>
          <w:rFonts w:cs="Palatino Linotype"/>
          <w:b/>
          <w:bCs/>
          <w:i/>
          <w:iCs/>
          <w:color w:val="000000"/>
          <w:sz w:val="22"/>
          <w:szCs w:val="22"/>
        </w:rPr>
        <w:t>Маллаева</w:t>
      </w:r>
      <w:proofErr w:type="spellEnd"/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 М.А. </w:t>
      </w:r>
    </w:p>
    <w:p w:rsidR="00B505FF" w:rsidRDefault="00B505FF" w:rsidP="00B505FF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НЕКОТОРЫЕ АСПЕКТЫ КОМОРБИДНОСТИ ПРИ ИНФАРКТЕ МИОКАРДА </w:t>
      </w:r>
    </w:p>
    <w:p w:rsidR="00B505FF" w:rsidRDefault="00B505FF" w:rsidP="00B505FF">
      <w:pPr>
        <w:jc w:val="both"/>
        <w:rPr>
          <w:rFonts w:cs="Palatino Linotype"/>
          <w:color w:val="000000"/>
        </w:rPr>
      </w:pPr>
      <w:r>
        <w:rPr>
          <w:rFonts w:cs="Palatino Linotype"/>
          <w:color w:val="000000"/>
        </w:rPr>
        <w:t xml:space="preserve">Кафедра терапии и </w:t>
      </w:r>
      <w:proofErr w:type="spellStart"/>
      <w:r>
        <w:rPr>
          <w:rFonts w:cs="Palatino Linotype"/>
          <w:color w:val="000000"/>
        </w:rPr>
        <w:t>кардио-ревматологии</w:t>
      </w:r>
      <w:proofErr w:type="spellEnd"/>
      <w:r>
        <w:rPr>
          <w:rFonts w:cs="Palatino Linotype"/>
          <w:color w:val="000000"/>
        </w:rPr>
        <w:t xml:space="preserve"> ГОУ </w:t>
      </w:r>
      <w:proofErr w:type="spellStart"/>
      <w:r>
        <w:rPr>
          <w:rFonts w:cs="Palatino Linotype"/>
          <w:color w:val="000000"/>
        </w:rPr>
        <w:t>ИПОвСЗ</w:t>
      </w:r>
      <w:proofErr w:type="spellEnd"/>
      <w:r>
        <w:rPr>
          <w:rFonts w:cs="Palatino Linotype"/>
          <w:color w:val="000000"/>
        </w:rPr>
        <w:t xml:space="preserve"> РТ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Аннотация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6"/>
          <w:szCs w:val="16"/>
        </w:rPr>
      </w:pPr>
      <w:r>
        <w:rPr>
          <w:rStyle w:val="A7"/>
          <w:i w:val="0"/>
          <w:iCs w:val="0"/>
          <w:sz w:val="16"/>
          <w:szCs w:val="16"/>
        </w:rPr>
        <w:t>В статье представлен анализ современных литературных данных инфаркта миокарда (ИМ) в ассоциации с сопутствующими заболеваниями. Раскрыты частота, патогенетические взаимосвязи ИМ и сопутствующих забо</w:t>
      </w:r>
      <w:r>
        <w:rPr>
          <w:rStyle w:val="A7"/>
          <w:i w:val="0"/>
          <w:iCs w:val="0"/>
          <w:sz w:val="16"/>
          <w:szCs w:val="16"/>
        </w:rPr>
        <w:softHyphen/>
        <w:t xml:space="preserve">леваний, общность факторов риска и терапевтические подходы. </w:t>
      </w:r>
      <w:proofErr w:type="gramStart"/>
      <w:r>
        <w:rPr>
          <w:rStyle w:val="A7"/>
          <w:i w:val="0"/>
          <w:iCs w:val="0"/>
          <w:sz w:val="16"/>
          <w:szCs w:val="16"/>
        </w:rPr>
        <w:t xml:space="preserve">Наиболее частыми спутниками ИМ являются сахарный диабет, ожирение и хроническая </w:t>
      </w:r>
      <w:proofErr w:type="spellStart"/>
      <w:r>
        <w:rPr>
          <w:rStyle w:val="A7"/>
          <w:i w:val="0"/>
          <w:iCs w:val="0"/>
          <w:sz w:val="16"/>
          <w:szCs w:val="16"/>
        </w:rPr>
        <w:t>обструктивная</w:t>
      </w:r>
      <w:proofErr w:type="spellEnd"/>
      <w:r>
        <w:rPr>
          <w:rStyle w:val="A7"/>
          <w:i w:val="0"/>
          <w:iCs w:val="0"/>
          <w:sz w:val="16"/>
          <w:szCs w:val="16"/>
        </w:rPr>
        <w:t xml:space="preserve"> болезнь легких (ХОБЛ), а общими факторами риска являются пол, возраст, малоподвижный образ жизни и др. Анализ литературы свидетельствует о негативном влиянии </w:t>
      </w:r>
      <w:proofErr w:type="spellStart"/>
      <w:r>
        <w:rPr>
          <w:rStyle w:val="A7"/>
          <w:i w:val="0"/>
          <w:iCs w:val="0"/>
          <w:sz w:val="16"/>
          <w:szCs w:val="16"/>
        </w:rPr>
        <w:t>коморбидных</w:t>
      </w:r>
      <w:proofErr w:type="spellEnd"/>
      <w:r>
        <w:rPr>
          <w:rStyle w:val="A7"/>
          <w:i w:val="0"/>
          <w:iCs w:val="0"/>
          <w:sz w:val="16"/>
          <w:szCs w:val="16"/>
        </w:rPr>
        <w:t xml:space="preserve"> состояний на гемодинамические показатели и исходы ИМ. Представлены современные аспекты о роли </w:t>
      </w:r>
      <w:proofErr w:type="spellStart"/>
      <w:r>
        <w:rPr>
          <w:rStyle w:val="A7"/>
          <w:i w:val="0"/>
          <w:iCs w:val="0"/>
          <w:sz w:val="16"/>
          <w:szCs w:val="16"/>
        </w:rPr>
        <w:t>гиперкоагуляции</w:t>
      </w:r>
      <w:proofErr w:type="spellEnd"/>
      <w:r>
        <w:rPr>
          <w:rStyle w:val="A7"/>
          <w:i w:val="0"/>
          <w:iCs w:val="0"/>
          <w:sz w:val="16"/>
          <w:szCs w:val="16"/>
        </w:rPr>
        <w:t xml:space="preserve"> на течение и исходы ИМ в ассоциации с ХОБЛ.</w:t>
      </w:r>
      <w:proofErr w:type="gramEnd"/>
      <w:r>
        <w:rPr>
          <w:rStyle w:val="A7"/>
          <w:i w:val="0"/>
          <w:iCs w:val="0"/>
          <w:sz w:val="16"/>
          <w:szCs w:val="16"/>
        </w:rPr>
        <w:t xml:space="preserve"> Результаты многочисленных исследований посвящены вопросам терапии больных ИМ в ассоциации с сахарным диабетом и ХОБЛ, показания и противопоказания к </w:t>
      </w:r>
      <w:proofErr w:type="spellStart"/>
      <w:r>
        <w:rPr>
          <w:rStyle w:val="A7"/>
          <w:i w:val="0"/>
          <w:iCs w:val="0"/>
          <w:sz w:val="16"/>
          <w:szCs w:val="16"/>
        </w:rPr>
        <w:t>чрескожным</w:t>
      </w:r>
      <w:proofErr w:type="spellEnd"/>
      <w:r>
        <w:rPr>
          <w:rStyle w:val="A7"/>
          <w:i w:val="0"/>
          <w:iCs w:val="0"/>
          <w:sz w:val="16"/>
          <w:szCs w:val="16"/>
        </w:rPr>
        <w:t xml:space="preserve"> кардиальным вмешательствам. </w:t>
      </w:r>
    </w:p>
    <w:p w:rsidR="00B505FF" w:rsidRDefault="00B505FF" w:rsidP="00B505F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 xml:space="preserve">инфаркт миокарда, </w:t>
      </w:r>
      <w:proofErr w:type="spellStart"/>
      <w:r>
        <w:rPr>
          <w:rStyle w:val="A7"/>
        </w:rPr>
        <w:t>коморбидность</w:t>
      </w:r>
      <w:proofErr w:type="spellEnd"/>
      <w:r>
        <w:rPr>
          <w:rStyle w:val="A7"/>
        </w:rPr>
        <w:t xml:space="preserve">, сахарный диабет, хроническая </w:t>
      </w:r>
      <w:proofErr w:type="spellStart"/>
      <w:r>
        <w:rPr>
          <w:rStyle w:val="A7"/>
        </w:rPr>
        <w:t>обструктивная</w:t>
      </w:r>
      <w:proofErr w:type="spellEnd"/>
      <w:r>
        <w:rPr>
          <w:rStyle w:val="A7"/>
        </w:rPr>
        <w:t xml:space="preserve"> болезнь легких, факторы риска</w:t>
      </w:r>
    </w:p>
    <w:p w:rsidR="00A70BB1" w:rsidRDefault="00A70BB1" w:rsidP="00A70BB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0B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ЭКСПЕРИМЕНТАЛЬНОЕ ИССЛЕДОВАНИЕ</w:t>
      </w:r>
    </w:p>
    <w:p w:rsidR="00B505FF" w:rsidRDefault="00B505FF" w:rsidP="00B505FF">
      <w:pPr>
        <w:pStyle w:val="Pa21"/>
        <w:rPr>
          <w:rFonts w:cs="Palatino Linotype"/>
          <w:color w:val="000000"/>
          <w:sz w:val="22"/>
          <w:szCs w:val="22"/>
        </w:rPr>
      </w:pPr>
      <w:r>
        <w:rPr>
          <w:rStyle w:val="A10"/>
          <w:b/>
          <w:bCs/>
          <w:i/>
          <w:iCs/>
        </w:rPr>
        <w:t>1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Шамсудинов Ш.Н., </w:t>
      </w:r>
      <w:r>
        <w:rPr>
          <w:rStyle w:val="A10"/>
          <w:b/>
          <w:bCs/>
          <w:i/>
          <w:iCs/>
        </w:rPr>
        <w:t>1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Авезов С.А., </w:t>
      </w:r>
      <w:r>
        <w:rPr>
          <w:rStyle w:val="A10"/>
          <w:b/>
          <w:bCs/>
          <w:i/>
          <w:iCs/>
        </w:rPr>
        <w:t>2</w:t>
      </w:r>
      <w:r>
        <w:rPr>
          <w:rFonts w:cs="Palatino Linotype"/>
          <w:b/>
          <w:bCs/>
          <w:i/>
          <w:iCs/>
          <w:color w:val="000000"/>
          <w:sz w:val="22"/>
          <w:szCs w:val="22"/>
        </w:rPr>
        <w:t xml:space="preserve">Тошболтаева С.С. </w:t>
      </w:r>
    </w:p>
    <w:p w:rsidR="00B505FF" w:rsidRDefault="00B505FF" w:rsidP="00B505FF">
      <w:pPr>
        <w:pStyle w:val="Pa22"/>
        <w:spacing w:after="160"/>
        <w:jc w:val="center"/>
        <w:rPr>
          <w:rFonts w:cs="Palatino Linotype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8"/>
          <w:szCs w:val="28"/>
        </w:rPr>
        <w:t xml:space="preserve">САХАРОСНИЖАЮЩЕЕ ДЕЙСТВИЕ ФИТОПРЕПАРАТОВ ПРИ </w:t>
      </w:r>
      <w:proofErr w:type="gramStart"/>
      <w:r>
        <w:rPr>
          <w:rFonts w:cs="Palatino Linotype"/>
          <w:b/>
          <w:bCs/>
          <w:color w:val="000000"/>
          <w:sz w:val="28"/>
          <w:szCs w:val="28"/>
        </w:rPr>
        <w:t>АДРЕНАЛИНОВОЙ</w:t>
      </w:r>
      <w:proofErr w:type="gramEnd"/>
      <w:r>
        <w:rPr>
          <w:rFonts w:cs="Palatino Linotype"/>
          <w:b/>
          <w:bCs/>
          <w:color w:val="000000"/>
          <w:sz w:val="28"/>
          <w:szCs w:val="28"/>
        </w:rPr>
        <w:t xml:space="preserve"> И СЕРОТОНИНОВОЙ ГИПЕРГЛИКЕМИЯХ </w:t>
      </w:r>
    </w:p>
    <w:p w:rsidR="00B505FF" w:rsidRDefault="00B505FF" w:rsidP="00B505FF">
      <w:pPr>
        <w:pStyle w:val="Pa1"/>
        <w:jc w:val="both"/>
        <w:rPr>
          <w:rFonts w:cs="Palatino Linotype"/>
          <w:color w:val="000000"/>
          <w:sz w:val="22"/>
          <w:szCs w:val="22"/>
        </w:rPr>
      </w:pPr>
      <w:r>
        <w:rPr>
          <w:rStyle w:val="A10"/>
        </w:rPr>
        <w:t>1</w:t>
      </w:r>
      <w:r>
        <w:rPr>
          <w:rFonts w:cs="Palatino Linotype"/>
          <w:color w:val="000000"/>
          <w:sz w:val="22"/>
          <w:szCs w:val="22"/>
        </w:rPr>
        <w:t xml:space="preserve">ГУ «Институт гастроэнтерологии» </w:t>
      </w:r>
      <w:proofErr w:type="spellStart"/>
      <w:r>
        <w:rPr>
          <w:rFonts w:cs="Palatino Linotype"/>
          <w:color w:val="000000"/>
          <w:sz w:val="22"/>
          <w:szCs w:val="22"/>
        </w:rPr>
        <w:t>МЗиСЗН</w:t>
      </w:r>
      <w:proofErr w:type="spellEnd"/>
      <w:r>
        <w:rPr>
          <w:rFonts w:cs="Palatino Linotype"/>
          <w:color w:val="000000"/>
          <w:sz w:val="22"/>
          <w:szCs w:val="22"/>
        </w:rPr>
        <w:t xml:space="preserve"> РТ </w:t>
      </w:r>
    </w:p>
    <w:p w:rsidR="00B505FF" w:rsidRDefault="00B505FF" w:rsidP="00B505FF">
      <w:pPr>
        <w:jc w:val="both"/>
        <w:rPr>
          <w:rFonts w:cs="Palatino Linotype"/>
          <w:color w:val="000000"/>
        </w:rPr>
      </w:pPr>
      <w:r>
        <w:rPr>
          <w:rStyle w:val="A10"/>
        </w:rPr>
        <w:t>2</w:t>
      </w:r>
      <w:r>
        <w:rPr>
          <w:rFonts w:cs="Palatino Linotype"/>
          <w:color w:val="000000"/>
        </w:rPr>
        <w:t xml:space="preserve">Кафедра клинико-биохимической лабораторной диагностики ГОУ </w:t>
      </w:r>
      <w:proofErr w:type="spellStart"/>
      <w:r>
        <w:rPr>
          <w:rFonts w:cs="Palatino Linotype"/>
          <w:color w:val="000000"/>
        </w:rPr>
        <w:t>ИПОвСЗ</w:t>
      </w:r>
      <w:proofErr w:type="spellEnd"/>
      <w:r>
        <w:rPr>
          <w:rFonts w:cs="Palatino Linotype"/>
          <w:color w:val="000000"/>
        </w:rPr>
        <w:t xml:space="preserve"> РТ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8"/>
          <w:szCs w:val="18"/>
        </w:rPr>
      </w:pPr>
      <w:r>
        <w:rPr>
          <w:rStyle w:val="A7"/>
          <w:b/>
          <w:bCs/>
          <w:i w:val="0"/>
          <w:iCs w:val="0"/>
        </w:rPr>
        <w:t xml:space="preserve">Аннотация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i w:val="0"/>
          <w:iCs w:val="0"/>
          <w:sz w:val="17"/>
          <w:szCs w:val="17"/>
        </w:rPr>
        <w:t xml:space="preserve">Изучена эффективность </w:t>
      </w:r>
      <w:proofErr w:type="spellStart"/>
      <w:r>
        <w:rPr>
          <w:rStyle w:val="A7"/>
          <w:i w:val="0"/>
          <w:iCs w:val="0"/>
          <w:sz w:val="17"/>
          <w:szCs w:val="17"/>
        </w:rPr>
        <w:t>гиперезида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, эстрагона, </w:t>
      </w:r>
      <w:proofErr w:type="spellStart"/>
      <w:r>
        <w:rPr>
          <w:rStyle w:val="A7"/>
          <w:i w:val="0"/>
          <w:iCs w:val="0"/>
          <w:sz w:val="17"/>
          <w:szCs w:val="17"/>
        </w:rPr>
        <w:t>кверцетина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, СЭРХ, СЭЭ, </w:t>
      </w:r>
      <w:proofErr w:type="spellStart"/>
      <w:r>
        <w:rPr>
          <w:rStyle w:val="A7"/>
          <w:i w:val="0"/>
          <w:iCs w:val="0"/>
          <w:sz w:val="17"/>
          <w:szCs w:val="17"/>
        </w:rPr>
        <w:t>хлорпропамида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и </w:t>
      </w:r>
      <w:proofErr w:type="spellStart"/>
      <w:r>
        <w:rPr>
          <w:rStyle w:val="A7"/>
          <w:i w:val="0"/>
          <w:iCs w:val="0"/>
          <w:sz w:val="17"/>
          <w:szCs w:val="17"/>
        </w:rPr>
        <w:t>глибенкламида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при </w:t>
      </w:r>
      <w:proofErr w:type="spellStart"/>
      <w:r>
        <w:rPr>
          <w:rStyle w:val="A7"/>
          <w:i w:val="0"/>
          <w:iCs w:val="0"/>
          <w:sz w:val="17"/>
          <w:szCs w:val="17"/>
        </w:rPr>
        <w:t>адрениловой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и </w:t>
      </w:r>
      <w:proofErr w:type="spellStart"/>
      <w:r>
        <w:rPr>
          <w:rStyle w:val="A7"/>
          <w:i w:val="0"/>
          <w:iCs w:val="0"/>
          <w:sz w:val="17"/>
          <w:szCs w:val="17"/>
        </w:rPr>
        <w:t>серотониновой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</w:t>
      </w:r>
      <w:proofErr w:type="spellStart"/>
      <w:r>
        <w:rPr>
          <w:rStyle w:val="A7"/>
          <w:i w:val="0"/>
          <w:iCs w:val="0"/>
          <w:sz w:val="17"/>
          <w:szCs w:val="17"/>
        </w:rPr>
        <w:t>гипергликемиях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. Эффективность препаратов оценивали по </w:t>
      </w:r>
      <w:proofErr w:type="spellStart"/>
      <w:r>
        <w:rPr>
          <w:rStyle w:val="A7"/>
          <w:i w:val="0"/>
          <w:iCs w:val="0"/>
          <w:sz w:val="17"/>
          <w:szCs w:val="17"/>
        </w:rPr>
        <w:t>сахароснижающему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действию у животных с адреналиновой гипергликемией. Максимальный гипогликемический эффект оказали </w:t>
      </w:r>
      <w:proofErr w:type="spellStart"/>
      <w:r>
        <w:rPr>
          <w:rStyle w:val="A7"/>
          <w:i w:val="0"/>
          <w:iCs w:val="0"/>
          <w:sz w:val="17"/>
          <w:szCs w:val="17"/>
        </w:rPr>
        <w:t>гипе</w:t>
      </w:r>
      <w:r>
        <w:rPr>
          <w:rStyle w:val="A7"/>
          <w:i w:val="0"/>
          <w:iCs w:val="0"/>
          <w:sz w:val="17"/>
          <w:szCs w:val="17"/>
        </w:rPr>
        <w:softHyphen/>
        <w:t>резид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в дозе 10 мг/кг и </w:t>
      </w:r>
      <w:proofErr w:type="spellStart"/>
      <w:r>
        <w:rPr>
          <w:rStyle w:val="A7"/>
          <w:i w:val="0"/>
          <w:iCs w:val="0"/>
          <w:sz w:val="17"/>
          <w:szCs w:val="17"/>
        </w:rPr>
        <w:t>глибенкламид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, которые на 43-40,8% снизили концентрацию глюкозы в кровы, по сравнению с контрольными данными. Достоверное уменьшение содержание сахара в крови также наблюдалось у животных, получавших эстрагон (38,6%), СЭРХ (на 29%). </w:t>
      </w:r>
      <w:proofErr w:type="spellStart"/>
      <w:r>
        <w:rPr>
          <w:rStyle w:val="A7"/>
          <w:i w:val="0"/>
          <w:iCs w:val="0"/>
          <w:sz w:val="17"/>
          <w:szCs w:val="17"/>
        </w:rPr>
        <w:t>Кверцетин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, СЭРХ и СЭЭ всего на 10-20% ослабили гипергликемического действия </w:t>
      </w:r>
      <w:proofErr w:type="spellStart"/>
      <w:r>
        <w:rPr>
          <w:rStyle w:val="A7"/>
          <w:i w:val="0"/>
          <w:iCs w:val="0"/>
          <w:sz w:val="17"/>
          <w:szCs w:val="17"/>
        </w:rPr>
        <w:t>гиперизида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. </w:t>
      </w:r>
    </w:p>
    <w:p w:rsidR="00B505FF" w:rsidRDefault="00B505FF" w:rsidP="00B505FF">
      <w:pPr>
        <w:pStyle w:val="Pa3"/>
        <w:ind w:firstLine="280"/>
        <w:jc w:val="both"/>
        <w:rPr>
          <w:rFonts w:cs="Palatino Linotype"/>
          <w:color w:val="000000"/>
          <w:sz w:val="17"/>
          <w:szCs w:val="17"/>
        </w:rPr>
      </w:pPr>
      <w:r>
        <w:rPr>
          <w:rStyle w:val="A7"/>
          <w:i w:val="0"/>
          <w:iCs w:val="0"/>
          <w:sz w:val="17"/>
          <w:szCs w:val="17"/>
        </w:rPr>
        <w:t xml:space="preserve">У животных с </w:t>
      </w:r>
      <w:proofErr w:type="spellStart"/>
      <w:r>
        <w:rPr>
          <w:rStyle w:val="A7"/>
          <w:i w:val="0"/>
          <w:iCs w:val="0"/>
          <w:sz w:val="17"/>
          <w:szCs w:val="17"/>
        </w:rPr>
        <w:t>серотониновой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гипергликемии максимальный гипогликемический эффект оказали эстрагон и </w:t>
      </w:r>
      <w:proofErr w:type="spellStart"/>
      <w:r>
        <w:rPr>
          <w:rStyle w:val="A7"/>
          <w:i w:val="0"/>
          <w:iCs w:val="0"/>
          <w:sz w:val="17"/>
          <w:szCs w:val="17"/>
        </w:rPr>
        <w:t>глибенкламид</w:t>
      </w:r>
      <w:proofErr w:type="spellEnd"/>
      <w:r>
        <w:rPr>
          <w:rStyle w:val="A7"/>
          <w:i w:val="0"/>
          <w:iCs w:val="0"/>
          <w:sz w:val="17"/>
          <w:szCs w:val="17"/>
        </w:rPr>
        <w:t>, которые на 34-32% снизили концентрацию глюкозы в кровы, по сравнению с контрольными данны</w:t>
      </w:r>
      <w:r>
        <w:rPr>
          <w:rStyle w:val="A7"/>
          <w:i w:val="0"/>
          <w:iCs w:val="0"/>
          <w:sz w:val="17"/>
          <w:szCs w:val="17"/>
        </w:rPr>
        <w:softHyphen/>
        <w:t xml:space="preserve">ми. Достоверное уменьшение содержание сахара в крови также наблюдалось у животных, получавших </w:t>
      </w:r>
      <w:proofErr w:type="spellStart"/>
      <w:r>
        <w:rPr>
          <w:rStyle w:val="A7"/>
          <w:i w:val="0"/>
          <w:iCs w:val="0"/>
          <w:sz w:val="17"/>
          <w:szCs w:val="17"/>
        </w:rPr>
        <w:t>гиперизид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(на 29%) и </w:t>
      </w:r>
      <w:proofErr w:type="spellStart"/>
      <w:r>
        <w:rPr>
          <w:rStyle w:val="A7"/>
          <w:i w:val="0"/>
          <w:iCs w:val="0"/>
          <w:sz w:val="17"/>
          <w:szCs w:val="17"/>
        </w:rPr>
        <w:t>глибенкламид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(на 22%). </w:t>
      </w:r>
      <w:proofErr w:type="spellStart"/>
      <w:r>
        <w:rPr>
          <w:rStyle w:val="A7"/>
          <w:i w:val="0"/>
          <w:iCs w:val="0"/>
          <w:sz w:val="17"/>
          <w:szCs w:val="17"/>
        </w:rPr>
        <w:t>Кверцетин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, СЭРХ и СЭЭ всего на 10-20% ослабили гипергликемическое действие </w:t>
      </w:r>
      <w:proofErr w:type="spellStart"/>
      <w:r>
        <w:rPr>
          <w:rStyle w:val="A7"/>
          <w:i w:val="0"/>
          <w:iCs w:val="0"/>
          <w:sz w:val="17"/>
          <w:szCs w:val="17"/>
        </w:rPr>
        <w:t>серотонина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. При </w:t>
      </w:r>
      <w:proofErr w:type="spellStart"/>
      <w:r>
        <w:rPr>
          <w:rStyle w:val="A7"/>
          <w:i w:val="0"/>
          <w:iCs w:val="0"/>
          <w:sz w:val="17"/>
          <w:szCs w:val="17"/>
        </w:rPr>
        <w:t>стрессорных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</w:t>
      </w:r>
      <w:proofErr w:type="spellStart"/>
      <w:r>
        <w:rPr>
          <w:rStyle w:val="A7"/>
          <w:i w:val="0"/>
          <w:iCs w:val="0"/>
          <w:sz w:val="17"/>
          <w:szCs w:val="17"/>
        </w:rPr>
        <w:t>гипергликемиях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наиболее эффективными препаратами являются </w:t>
      </w:r>
      <w:proofErr w:type="spellStart"/>
      <w:r>
        <w:rPr>
          <w:rStyle w:val="A7"/>
          <w:i w:val="0"/>
          <w:iCs w:val="0"/>
          <w:sz w:val="17"/>
          <w:szCs w:val="17"/>
        </w:rPr>
        <w:t>глибенкламид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, </w:t>
      </w:r>
      <w:proofErr w:type="spellStart"/>
      <w:r>
        <w:rPr>
          <w:rStyle w:val="A7"/>
          <w:i w:val="0"/>
          <w:iCs w:val="0"/>
          <w:sz w:val="17"/>
          <w:szCs w:val="17"/>
        </w:rPr>
        <w:t>гиперезид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 и эстрагон, наименее эффективен </w:t>
      </w:r>
      <w:proofErr w:type="spellStart"/>
      <w:r>
        <w:rPr>
          <w:rStyle w:val="A7"/>
          <w:i w:val="0"/>
          <w:iCs w:val="0"/>
          <w:sz w:val="17"/>
          <w:szCs w:val="17"/>
        </w:rPr>
        <w:t>кверцетин</w:t>
      </w:r>
      <w:proofErr w:type="spellEnd"/>
      <w:r>
        <w:rPr>
          <w:rStyle w:val="A7"/>
          <w:i w:val="0"/>
          <w:iCs w:val="0"/>
          <w:sz w:val="17"/>
          <w:szCs w:val="17"/>
        </w:rPr>
        <w:t xml:space="preserve">. </w:t>
      </w:r>
    </w:p>
    <w:p w:rsidR="00B505FF" w:rsidRPr="00A70BB1" w:rsidRDefault="00B505FF" w:rsidP="00B505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b/>
          <w:bCs/>
        </w:rPr>
        <w:t xml:space="preserve">Ключевые слова: </w:t>
      </w:r>
      <w:r>
        <w:rPr>
          <w:rStyle w:val="A7"/>
        </w:rPr>
        <w:t xml:space="preserve">гипергликемия, концентрация глюкозы, </w:t>
      </w:r>
      <w:proofErr w:type="spellStart"/>
      <w:r>
        <w:rPr>
          <w:rStyle w:val="A7"/>
        </w:rPr>
        <w:t>гиперизид</w:t>
      </w:r>
      <w:proofErr w:type="spellEnd"/>
      <w:r>
        <w:rPr>
          <w:rStyle w:val="A7"/>
        </w:rPr>
        <w:t xml:space="preserve">, эстрагон, </w:t>
      </w:r>
      <w:proofErr w:type="spellStart"/>
      <w:r>
        <w:rPr>
          <w:rStyle w:val="A7"/>
        </w:rPr>
        <w:t>кверцетин</w:t>
      </w:r>
      <w:proofErr w:type="spellEnd"/>
      <w:r>
        <w:rPr>
          <w:rStyle w:val="A7"/>
        </w:rPr>
        <w:t>, гликоген, инсулин</w:t>
      </w:r>
    </w:p>
    <w:sectPr w:rsidR="00B505FF" w:rsidRPr="00A7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BB1"/>
    <w:rsid w:val="00A70BB1"/>
    <w:rsid w:val="00B5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1">
    <w:name w:val="Pa21"/>
    <w:basedOn w:val="a"/>
    <w:next w:val="a"/>
    <w:uiPriority w:val="99"/>
    <w:rsid w:val="00A70BB1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paragraph" w:customStyle="1" w:styleId="Pa22">
    <w:name w:val="Pa22"/>
    <w:basedOn w:val="a"/>
    <w:next w:val="a"/>
    <w:uiPriority w:val="99"/>
    <w:rsid w:val="00A70BB1"/>
    <w:pPr>
      <w:autoSpaceDE w:val="0"/>
      <w:autoSpaceDN w:val="0"/>
      <w:adjustRightInd w:val="0"/>
      <w:spacing w:after="0" w:line="281" w:lineRule="atLeast"/>
    </w:pPr>
    <w:rPr>
      <w:rFonts w:ascii="Palatino Linotype" w:hAnsi="Palatino Linotype"/>
      <w:sz w:val="24"/>
      <w:szCs w:val="24"/>
    </w:rPr>
  </w:style>
  <w:style w:type="paragraph" w:customStyle="1" w:styleId="Pa3">
    <w:name w:val="Pa3"/>
    <w:basedOn w:val="a"/>
    <w:next w:val="a"/>
    <w:uiPriority w:val="99"/>
    <w:rsid w:val="00A70BB1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character" w:customStyle="1" w:styleId="A7">
    <w:name w:val="A7"/>
    <w:uiPriority w:val="99"/>
    <w:rsid w:val="00A70BB1"/>
    <w:rPr>
      <w:rFonts w:cs="Palatino Linotype"/>
      <w:i/>
      <w:iCs/>
      <w:color w:val="000000"/>
      <w:sz w:val="18"/>
      <w:szCs w:val="18"/>
    </w:rPr>
  </w:style>
  <w:style w:type="paragraph" w:customStyle="1" w:styleId="Pa23">
    <w:name w:val="Pa23"/>
    <w:basedOn w:val="a"/>
    <w:next w:val="a"/>
    <w:uiPriority w:val="99"/>
    <w:rsid w:val="00A70BB1"/>
    <w:pPr>
      <w:autoSpaceDE w:val="0"/>
      <w:autoSpaceDN w:val="0"/>
      <w:adjustRightInd w:val="0"/>
      <w:spacing w:after="0" w:line="201" w:lineRule="atLeast"/>
    </w:pPr>
    <w:rPr>
      <w:rFonts w:ascii="Palatino Linotype" w:hAnsi="Palatino Linotype"/>
      <w:sz w:val="24"/>
      <w:szCs w:val="24"/>
    </w:rPr>
  </w:style>
  <w:style w:type="character" w:customStyle="1" w:styleId="A8">
    <w:name w:val="A8"/>
    <w:uiPriority w:val="99"/>
    <w:rsid w:val="00A70BB1"/>
    <w:rPr>
      <w:rFonts w:cs="Palatino Linotype"/>
      <w:i/>
      <w:iCs/>
      <w:color w:val="000000"/>
      <w:sz w:val="10"/>
      <w:szCs w:val="10"/>
    </w:rPr>
  </w:style>
  <w:style w:type="character" w:customStyle="1" w:styleId="A10">
    <w:name w:val="A10"/>
    <w:uiPriority w:val="99"/>
    <w:rsid w:val="00A70BB1"/>
    <w:rPr>
      <w:rFonts w:cs="Palatino Linotype"/>
      <w:color w:val="000000"/>
      <w:sz w:val="12"/>
      <w:szCs w:val="12"/>
    </w:rPr>
  </w:style>
  <w:style w:type="paragraph" w:customStyle="1" w:styleId="Pa1">
    <w:name w:val="Pa1"/>
    <w:basedOn w:val="a"/>
    <w:next w:val="a"/>
    <w:uiPriority w:val="99"/>
    <w:rsid w:val="00A70BB1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2021-04-22T09:56:00Z</dcterms:created>
  <dcterms:modified xsi:type="dcterms:W3CDTF">2021-04-22T10:15:00Z</dcterms:modified>
</cp:coreProperties>
</file>